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ind w:left="-1418" w:leftChars="-675" w:firstLine="1417" w:firstLineChars="294"/>
        <w:jc w:val="center"/>
        <w:rPr>
          <w:rFonts w:ascii="宋体" w:hAnsi="宋体"/>
          <w:b/>
          <w:sz w:val="48"/>
          <w:u w:val="single"/>
        </w:rPr>
      </w:pPr>
      <w:r>
        <w:rPr>
          <w:rFonts w:ascii="宋体" w:hAnsi="宋体" w:hint="eastAsia"/>
          <w:b/>
          <w:sz w:val="48"/>
          <w:u w:val="single"/>
        </w:rPr>
        <w:t xml:space="preserve"> </w:t>
      </w:r>
      <w:r>
        <w:rPr>
          <w:rFonts w:ascii="宋体" w:hAnsi="宋体" w:hint="eastAsia"/>
          <w:b/>
          <w:sz w:val="48"/>
          <w:u w:val="single"/>
        </w:rPr>
        <w:t>柳州市中医</w:t>
      </w:r>
      <w:r>
        <w:rPr>
          <w:rFonts w:ascii="宋体" w:hAnsi="宋体" w:hint="eastAsia"/>
          <w:b/>
          <w:sz w:val="48"/>
          <w:u w:val="single"/>
        </w:rPr>
        <w:t>医</w:t>
      </w:r>
      <w:r>
        <w:rPr>
          <w:rFonts w:ascii="宋体" w:hAnsi="宋体" w:hint="eastAsia"/>
          <w:b/>
          <w:sz w:val="48"/>
          <w:u w:val="single"/>
        </w:rPr>
        <w:t>院</w:t>
      </w:r>
      <w:r>
        <w:rPr>
          <w:rFonts w:ascii="宋体" w:hAnsi="宋体" w:hint="eastAsia"/>
          <w:b/>
          <w:sz w:val="48"/>
          <w:u w:val="single"/>
        </w:rPr>
        <w:t>病媒生物防制</w:t>
      </w:r>
      <w:r>
        <w:rPr>
          <w:rFonts w:ascii="宋体" w:hAnsi="宋体" w:hint="eastAsia"/>
          <w:b/>
          <w:sz w:val="48"/>
          <w:u w:val="single"/>
        </w:rPr>
        <w:t>项目</w:t>
      </w:r>
    </w:p>
    <w:p>
      <w:pPr>
        <w:pStyle w:val="style0"/>
        <w:jc w:val="center"/>
        <w:rPr>
          <w:rFonts w:ascii="宋体" w:hAnsi="宋体"/>
          <w:b/>
          <w:sz w:val="44"/>
        </w:rPr>
      </w:pPr>
    </w:p>
    <w:p>
      <w:pPr>
        <w:pStyle w:val="style0"/>
        <w:jc w:val="center"/>
        <w:rPr>
          <w:rFonts w:ascii="宋体" w:hAnsi="宋体"/>
          <w:b/>
          <w:sz w:val="44"/>
        </w:rPr>
      </w:pPr>
    </w:p>
    <w:p>
      <w:pPr>
        <w:pStyle w:val="style0"/>
        <w:jc w:val="center"/>
        <w:rPr>
          <w:rFonts w:ascii="宋体" w:hAnsi="宋体"/>
          <w:b/>
          <w:sz w:val="44"/>
        </w:rPr>
      </w:pPr>
    </w:p>
    <w:p>
      <w:pPr>
        <w:pStyle w:val="style0"/>
        <w:jc w:val="center"/>
        <w:rPr>
          <w:rFonts w:ascii="宋体" w:hAnsi="宋体"/>
          <w:b/>
          <w:sz w:val="44"/>
        </w:rPr>
      </w:pPr>
    </w:p>
    <w:p>
      <w:pPr>
        <w:pStyle w:val="style0"/>
        <w:jc w:val="center"/>
        <w:rPr>
          <w:rFonts w:ascii="宋体" w:hAnsi="宋体"/>
          <w:b/>
          <w:sz w:val="44"/>
        </w:rPr>
      </w:pPr>
    </w:p>
    <w:p>
      <w:pPr>
        <w:pStyle w:val="style0"/>
        <w:jc w:val="center"/>
        <w:rPr>
          <w:rFonts w:ascii="宋体" w:hAnsi="宋体"/>
          <w:b/>
          <w:sz w:val="44"/>
        </w:rPr>
      </w:pPr>
    </w:p>
    <w:p>
      <w:pPr>
        <w:pStyle w:val="style0"/>
        <w:jc w:val="center"/>
        <w:rPr>
          <w:rFonts w:ascii="宋体" w:hAnsi="宋体"/>
          <w:b/>
          <w:sz w:val="44"/>
        </w:rPr>
      </w:pPr>
      <w:r>
        <w:rPr>
          <w:rFonts w:ascii="宋体" w:hAnsi="宋体" w:hint="eastAsia"/>
          <w:b/>
          <w:sz w:val="44"/>
        </w:rPr>
        <w:t>病媒生物防制服务</w:t>
      </w:r>
      <w:r>
        <w:rPr>
          <w:rFonts w:ascii="宋体" w:hAnsi="宋体" w:hint="eastAsia"/>
          <w:b/>
          <w:sz w:val="44"/>
        </w:rPr>
        <w:t>采购</w:t>
      </w:r>
      <w:r>
        <w:rPr>
          <w:rFonts w:ascii="宋体" w:hAnsi="宋体" w:hint="eastAsia"/>
          <w:b/>
          <w:sz w:val="44"/>
        </w:rPr>
        <w:t>文件</w:t>
      </w: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p>
    <w:p>
      <w:pPr>
        <w:pStyle w:val="style0"/>
        <w:jc w:val="center"/>
        <w:rPr>
          <w:rFonts w:ascii="黑体" w:eastAsia="黑体" w:hAnsi="黑体"/>
          <w:b/>
          <w:sz w:val="28"/>
        </w:rPr>
      </w:pPr>
      <w:r>
        <w:rPr>
          <w:rFonts w:ascii="黑体" w:eastAsia="黑体" w:hAnsi="黑体" w:hint="eastAsia"/>
          <w:b/>
          <w:sz w:val="28"/>
        </w:rPr>
        <w:t>柳州市中医</w:t>
      </w:r>
      <w:r>
        <w:rPr>
          <w:rFonts w:ascii="黑体" w:eastAsia="黑体" w:hAnsi="黑体" w:hint="eastAsia"/>
          <w:b/>
          <w:sz w:val="28"/>
        </w:rPr>
        <w:t>医院</w:t>
      </w:r>
      <w:r>
        <w:rPr>
          <w:rFonts w:ascii="黑体" w:eastAsia="黑体" w:hAnsi="黑体" w:hint="eastAsia"/>
          <w:b/>
          <w:sz w:val="28"/>
        </w:rPr>
        <w:t xml:space="preserve">  </w:t>
      </w:r>
    </w:p>
    <w:p>
      <w:pPr>
        <w:pStyle w:val="style0"/>
        <w:snapToGrid w:val="false"/>
        <w:spacing w:lineRule="auto" w:line="360"/>
        <w:jc w:val="center"/>
        <w:rPr>
          <w:rFonts w:ascii="黑体" w:eastAsia="黑体" w:hAnsi="黑体"/>
          <w:b/>
          <w:sz w:val="28"/>
        </w:rPr>
        <w:sectPr>
          <w:headerReference w:type="even" r:id="rId2"/>
          <w:headerReference w:type="default" r:id="rId3"/>
          <w:footerReference w:type="even" r:id="rId4"/>
          <w:footerReference w:type="default" r:id="rId5"/>
          <w:headerReference w:type="first" r:id="rId6"/>
          <w:pgSz w:w="11907" w:h="16840" w:orient="portrait"/>
          <w:pgMar w:top="1474" w:right="1814" w:bottom="1474" w:left="1814" w:header="851" w:footer="992" w:gutter="0"/>
          <w:cols w:space="720"/>
          <w:docGrid w:linePitch="312"/>
        </w:sectPr>
      </w:pPr>
      <w:r>
        <w:rPr>
          <w:rFonts w:ascii="黑体" w:eastAsia="黑体" w:hAnsi="黑体" w:hint="eastAsia"/>
          <w:b/>
          <w:sz w:val="28"/>
        </w:rPr>
        <w:t>2018年</w:t>
      </w:r>
      <w:r>
        <w:rPr>
          <w:rFonts w:ascii="黑体" w:eastAsia="黑体" w:hAnsi="黑体" w:hint="eastAsia"/>
          <w:b/>
          <w:sz w:val="28"/>
        </w:rPr>
        <w:t>6</w:t>
      </w:r>
      <w:r>
        <w:rPr>
          <w:rFonts w:ascii="黑体" w:eastAsia="黑体" w:hAnsi="黑体" w:hint="eastAsia"/>
          <w:b/>
          <w:sz w:val="28"/>
        </w:rPr>
        <w:t>月</w:t>
      </w:r>
      <w:r>
        <w:rPr>
          <w:rFonts w:ascii="黑体" w:eastAsia="黑体" w:hAnsi="黑体" w:hint="eastAsia"/>
          <w:b/>
          <w:sz w:val="28"/>
        </w:rPr>
        <w:t>4</w:t>
      </w:r>
      <w:r>
        <w:rPr>
          <w:rFonts w:ascii="黑体" w:eastAsia="黑体" w:hAnsi="黑体" w:hint="eastAsia"/>
          <w:b/>
          <w:sz w:val="28"/>
        </w:rPr>
        <w:t>日</w:t>
      </w:r>
    </w:p>
    <w:p>
      <w:pPr>
        <w:pStyle w:val="style266"/>
        <w:jc w:val="center"/>
        <w:rPr/>
      </w:pPr>
      <w:r>
        <w:rPr>
          <w:color w:val="000000"/>
          <w:lang w:val="zh-CN"/>
        </w:rPr>
        <w:t>目录</w:t>
      </w:r>
    </w:p>
    <w:p>
      <w:pPr>
        <w:pStyle w:val="style19"/>
        <w:tabs>
          <w:tab w:val="right" w:leader="dot" w:pos="9060"/>
        </w:tabs>
        <w:rPr>
          <w:rFonts w:ascii="Calibri" w:cs="宋体" w:eastAsia="宋体" w:hAnsi="Calibri"/>
          <w:noProof/>
        </w:rPr>
      </w:pPr>
      <w:r>
        <w:rPr/>
        <w:fldChar w:fldCharType="begin"/>
      </w:r>
      <w:r>
        <w:instrText xml:space="preserve"> TOC \o "1-3" \h \z \u </w:instrText>
      </w:r>
      <w:r>
        <w:rPr/>
        <w:fldChar w:fldCharType="separate"/>
      </w:r>
      <w:r>
        <w:rPr/>
        <w:fldChar w:fldCharType="begin"/>
      </w:r>
      <w:r>
        <w:instrText xml:space="preserve"> HYPERLINK \l "_Toc509241966" </w:instrText>
      </w:r>
      <w:r>
        <w:rPr/>
        <w:fldChar w:fldCharType="separate"/>
      </w:r>
      <w:r>
        <w:rPr>
          <w:rStyle w:val="style85"/>
          <w:rFonts w:hint="eastAsia"/>
          <w:noProof/>
        </w:rPr>
        <w:t>第一章</w:t>
      </w:r>
      <w:r>
        <w:rPr>
          <w:rStyle w:val="style85"/>
          <w:noProof/>
        </w:rPr>
        <w:t xml:space="preserve">   </w:t>
      </w:r>
      <w:r>
        <w:rPr>
          <w:rStyle w:val="style85"/>
          <w:rFonts w:hint="eastAsia"/>
          <w:noProof/>
        </w:rPr>
        <w:t>采购公告</w:t>
      </w:r>
      <w:r>
        <w:rPr>
          <w:noProof/>
          <w:webHidden/>
        </w:rPr>
        <w:tab/>
      </w:r>
      <w:r>
        <w:rPr>
          <w:noProof/>
          <w:webHidden/>
        </w:rPr>
        <w:fldChar w:fldCharType="begin"/>
      </w:r>
      <w:r>
        <w:rPr>
          <w:noProof/>
          <w:webHidden/>
        </w:rPr>
        <w:instrText xml:space="preserve"> PAGEREF _Toc509241966 \h </w:instrText>
      </w:r>
      <w:r>
        <w:rPr>
          <w:noProof/>
          <w:webHidden/>
        </w:rPr>
        <w:fldChar w:fldCharType="separate"/>
      </w:r>
      <w:r>
        <w:rPr>
          <w:noProof/>
          <w:webHidden/>
        </w:rPr>
        <w:t>3</w:t>
      </w:r>
      <w:r>
        <w:rPr>
          <w:noProof/>
          <w:webHidden/>
        </w:rPr>
        <w:fldChar w:fldCharType="end"/>
      </w:r>
      <w:r>
        <w:rPr/>
        <w:fldChar w:fldCharType="end"/>
      </w:r>
    </w:p>
    <w:p>
      <w:pPr>
        <w:pStyle w:val="style19"/>
        <w:tabs>
          <w:tab w:val="right" w:leader="dot" w:pos="9060"/>
        </w:tabs>
        <w:rPr>
          <w:rFonts w:ascii="Calibri" w:cs="宋体" w:eastAsia="宋体" w:hAnsi="Calibri"/>
          <w:noProof/>
        </w:rPr>
      </w:pPr>
      <w:r>
        <w:rPr/>
        <w:fldChar w:fldCharType="begin"/>
      </w:r>
      <w:r>
        <w:instrText xml:space="preserve"> HYPERLINK \l "_Toc509241967" </w:instrText>
      </w:r>
      <w:r>
        <w:rPr/>
        <w:fldChar w:fldCharType="separate"/>
      </w:r>
      <w:r>
        <w:rPr>
          <w:rStyle w:val="style85"/>
          <w:rFonts w:hint="eastAsia"/>
          <w:noProof/>
        </w:rPr>
        <w:t>第二章</w:t>
      </w:r>
      <w:r>
        <w:rPr>
          <w:rStyle w:val="style85"/>
          <w:noProof/>
        </w:rPr>
        <w:t xml:space="preserve">   </w:t>
      </w:r>
      <w:r>
        <w:rPr>
          <w:rStyle w:val="style85"/>
          <w:rFonts w:hint="eastAsia"/>
          <w:noProof/>
        </w:rPr>
        <w:t>采购</w:t>
      </w:r>
      <w:r>
        <w:rPr>
          <w:rStyle w:val="style85"/>
          <w:rFonts w:hint="eastAsia"/>
          <w:noProof/>
        </w:rPr>
        <w:t>须知</w:t>
      </w:r>
      <w:r>
        <w:rPr>
          <w:noProof/>
          <w:webHidden/>
        </w:rPr>
        <w:tab/>
      </w:r>
      <w:r>
        <w:rPr>
          <w:rFonts w:hint="eastAsia"/>
          <w:noProof/>
          <w:webHidden/>
        </w:rPr>
        <w:t>4</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"_Toc509241968" </w:instrText>
      </w:r>
      <w:r>
        <w:rPr/>
        <w:fldChar w:fldCharType="separate"/>
      </w:r>
      <w:r>
        <w:rPr>
          <w:rStyle w:val="style85"/>
          <w:rFonts w:hint="eastAsia"/>
          <w:noProof/>
        </w:rPr>
        <w:t>一、工程综合说明：</w:t>
      </w:r>
      <w:r>
        <w:rPr>
          <w:noProof/>
          <w:webHidden/>
        </w:rPr>
        <w:tab/>
      </w:r>
      <w:r>
        <w:rPr>
          <w:rFonts w:hint="eastAsia"/>
          <w:noProof/>
          <w:webHidden/>
        </w:rPr>
        <w:t>4</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"_Toc509241969" </w:instrText>
      </w:r>
      <w:r>
        <w:rPr/>
        <w:fldChar w:fldCharType="separate"/>
      </w:r>
      <w:r>
        <w:rPr>
          <w:rStyle w:val="style85"/>
          <w:rFonts w:hint="eastAsia"/>
          <w:noProof/>
        </w:rPr>
        <w:t>二、</w:t>
      </w:r>
      <w:r>
        <w:rPr>
          <w:rStyle w:val="style85"/>
          <w:rFonts w:hint="eastAsia"/>
          <w:noProof/>
        </w:rPr>
        <w:t>采购</w:t>
      </w:r>
      <w:r>
        <w:rPr>
          <w:rStyle w:val="style85"/>
          <w:rFonts w:hint="eastAsia"/>
          <w:noProof/>
        </w:rPr>
        <w:t>内容</w:t>
      </w:r>
      <w:r>
        <w:rPr>
          <w:noProof/>
          <w:webHidden/>
        </w:rPr>
        <w:tab/>
      </w:r>
      <w:r>
        <w:rPr>
          <w:rFonts w:hint="eastAsia"/>
          <w:noProof/>
          <w:webHidden/>
        </w:rPr>
        <w:t>4</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"_Toc509241970" </w:instrText>
      </w:r>
      <w:r>
        <w:rPr/>
        <w:fldChar w:fldCharType="separate"/>
      </w:r>
      <w:r>
        <w:rPr>
          <w:rStyle w:val="style85"/>
          <w:rFonts w:hint="eastAsia"/>
          <w:noProof/>
        </w:rPr>
        <w:t>三、计划工期</w:t>
      </w:r>
      <w:r>
        <w:rPr>
          <w:noProof/>
          <w:webHidden/>
        </w:rPr>
        <w:tab/>
      </w:r>
      <w:r>
        <w:rPr>
          <w:rFonts w:hint="eastAsia"/>
          <w:noProof/>
          <w:webHidden/>
        </w:rPr>
        <w:t>4</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"_Toc509241971" </w:instrText>
      </w:r>
      <w:r>
        <w:rPr/>
        <w:fldChar w:fldCharType="separate"/>
      </w:r>
      <w:r>
        <w:rPr>
          <w:rStyle w:val="style85"/>
          <w:rFonts w:hint="eastAsia"/>
          <w:bCs/>
          <w:noProof/>
        </w:rPr>
        <w:t>四、图纸及技术资料</w:t>
      </w:r>
      <w:r>
        <w:rPr>
          <w:noProof/>
          <w:webHidden/>
        </w:rPr>
        <w:tab/>
      </w:r>
      <w:r>
        <w:rPr>
          <w:rFonts w:hint="eastAsia"/>
          <w:noProof/>
          <w:webHidden/>
        </w:rPr>
        <w:t>4</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"_Toc509241972" </w:instrText>
      </w:r>
      <w:r>
        <w:rPr/>
        <w:fldChar w:fldCharType="separate"/>
      </w:r>
      <w:r>
        <w:rPr>
          <w:rStyle w:val="style85"/>
          <w:rFonts w:hint="eastAsia"/>
          <w:noProof/>
        </w:rPr>
        <w:t>五、合同主要条款：</w:t>
      </w:r>
      <w:r>
        <w:rPr>
          <w:noProof/>
          <w:webHidden/>
        </w:rPr>
        <w:tab/>
      </w:r>
      <w:r>
        <w:rPr>
          <w:rFonts w:hint="eastAsia"/>
          <w:noProof/>
          <w:webHidden/>
        </w:rPr>
        <w:t>4</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"_Toc509241973" </w:instrText>
      </w:r>
      <w:r>
        <w:rPr/>
        <w:fldChar w:fldCharType="separate"/>
      </w:r>
      <w:r>
        <w:rPr>
          <w:rStyle w:val="style85"/>
          <w:rFonts w:hint="eastAsia"/>
          <w:noProof/>
        </w:rPr>
        <w:t>六、对投标文件的要求</w:t>
      </w:r>
      <w:r>
        <w:rPr>
          <w:noProof/>
          <w:webHidden/>
        </w:rPr>
        <w:tab/>
      </w:r>
      <w:r>
        <w:rPr>
          <w:rFonts w:hint="eastAsia"/>
          <w:noProof/>
          <w:webHidden/>
        </w:rPr>
        <w:t>5</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"_Toc509241974" </w:instrText>
      </w:r>
      <w:r>
        <w:rPr/>
        <w:fldChar w:fldCharType="separate"/>
      </w:r>
      <w:r>
        <w:rPr>
          <w:rStyle w:val="style85"/>
          <w:rFonts w:hint="eastAsia"/>
          <w:noProof/>
        </w:rPr>
        <w:t>七、投标报价的制定</w:t>
      </w:r>
      <w:r>
        <w:rPr>
          <w:noProof/>
          <w:webHidden/>
        </w:rPr>
        <w:tab/>
      </w:r>
      <w:r>
        <w:rPr>
          <w:rFonts w:hint="eastAsia"/>
          <w:noProof/>
          <w:webHidden/>
        </w:rPr>
        <w:t>6</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"_Toc509241975" </w:instrText>
      </w:r>
      <w:r>
        <w:rPr/>
        <w:fldChar w:fldCharType="separate"/>
      </w:r>
      <w:r>
        <w:rPr>
          <w:rStyle w:val="style85"/>
          <w:rFonts w:hint="eastAsia"/>
          <w:noProof/>
        </w:rPr>
        <w:t>八、推荐中标人</w:t>
      </w:r>
      <w:r>
        <w:rPr>
          <w:noProof/>
          <w:webHidden/>
        </w:rPr>
        <w:tab/>
      </w:r>
      <w:r>
        <w:rPr>
          <w:rFonts w:hint="eastAsia"/>
          <w:noProof/>
          <w:webHidden/>
        </w:rPr>
        <w:t>6</w:t>
      </w:r>
      <w:r>
        <w:rPr/>
        <w:fldChar w:fldCharType="end"/>
      </w:r>
    </w:p>
    <w:p>
      <w:pPr>
        <w:pStyle w:val="style19"/>
        <w:tabs>
          <w:tab w:val="right" w:leader="dot" w:pos="9060"/>
        </w:tabs>
        <w:rPr>
          <w:rFonts w:ascii="Calibri" w:cs="宋体" w:eastAsia="宋体" w:hAnsi="Calibri"/>
          <w:noProof/>
        </w:rPr>
      </w:pPr>
      <w:r>
        <w:rPr/>
        <w:fldChar w:fldCharType="begin"/>
      </w:r>
      <w:r>
        <w:instrText xml:space="preserve"> HYPERLINK \l "_Toc509241976" </w:instrText>
      </w:r>
      <w:r>
        <w:rPr/>
        <w:fldChar w:fldCharType="separate"/>
      </w:r>
      <w:r>
        <w:rPr>
          <w:rStyle w:val="style85"/>
          <w:rFonts w:hint="eastAsia"/>
          <w:noProof/>
        </w:rPr>
        <w:t>第三章</w:t>
      </w:r>
      <w:r>
        <w:rPr>
          <w:rStyle w:val="style85"/>
          <w:noProof/>
        </w:rPr>
        <w:t xml:space="preserve">   </w:t>
      </w:r>
      <w:r>
        <w:rPr>
          <w:rStyle w:val="style85"/>
          <w:rFonts w:hint="eastAsia"/>
          <w:noProof/>
        </w:rPr>
        <w:t>项目采购需求</w:t>
      </w:r>
      <w:r>
        <w:rPr>
          <w:noProof/>
          <w:webHidden/>
        </w:rPr>
        <w:tab/>
      </w:r>
      <w:r>
        <w:rPr>
          <w:rFonts w:hint="eastAsia"/>
          <w:noProof/>
          <w:webHidden/>
        </w:rPr>
        <w:t>7</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"_Toc509241977" </w:instrText>
      </w:r>
      <w:r>
        <w:rPr/>
        <w:fldChar w:fldCharType="separate"/>
      </w:r>
      <w:r>
        <w:rPr>
          <w:rStyle w:val="style85"/>
          <w:rFonts w:hint="eastAsia"/>
          <w:noProof/>
        </w:rPr>
        <w:t>一、防制对象及</w:t>
      </w:r>
      <w:r>
        <w:rPr>
          <w:rStyle w:val="style85"/>
          <w:rFonts w:hint="eastAsia"/>
          <w:noProof/>
        </w:rPr>
        <w:t>范围</w:t>
      </w:r>
      <w:r>
        <w:rPr>
          <w:noProof/>
          <w:webHidden/>
        </w:rPr>
        <w:tab/>
      </w:r>
      <w:r>
        <w:rPr>
          <w:noProof/>
          <w:webHidden/>
        </w:rPr>
        <w:fldChar w:fldCharType="begin"/>
      </w:r>
      <w:r>
        <w:rPr>
          <w:noProof/>
          <w:webHidden/>
        </w:rPr>
        <w:instrText xml:space="preserve"> PAGEREF _Toc509241977 \h </w:instrText>
      </w:r>
      <w:r>
        <w:rPr>
          <w:noProof/>
          <w:webHidden/>
        </w:rPr>
        <w:fldChar w:fldCharType="separate"/>
      </w:r>
      <w:r>
        <w:rPr>
          <w:noProof/>
          <w:webHidden/>
        </w:rPr>
        <w:t>7</w:t>
      </w:r>
      <w:r>
        <w:rPr>
          <w:noProof/>
          <w:webHidden/>
        </w:rPr>
        <w:fldChar w:fldCharType="end"/>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"_Toc509241978" </w:instrText>
      </w:r>
      <w:r>
        <w:rPr/>
        <w:fldChar w:fldCharType="separate"/>
      </w:r>
      <w:r>
        <w:rPr>
          <w:rStyle w:val="style85"/>
          <w:rFonts w:hint="eastAsia"/>
          <w:noProof/>
        </w:rPr>
        <w:t>二、用药要求</w:t>
      </w:r>
      <w:r>
        <w:rPr>
          <w:noProof/>
          <w:webHidden/>
        </w:rPr>
        <w:tab/>
      </w:r>
      <w:r>
        <w:rPr>
          <w:rFonts w:hint="eastAsia"/>
          <w:noProof/>
          <w:webHidden/>
        </w:rPr>
        <w:t>8</w:t>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"_Toc509241979" </w:instrText>
      </w:r>
      <w:r>
        <w:rPr/>
        <w:fldChar w:fldCharType="separate"/>
      </w:r>
      <w:r>
        <w:rPr>
          <w:rStyle w:val="style85"/>
          <w:rFonts w:hint="eastAsia"/>
          <w:noProof/>
        </w:rPr>
        <w:t>三、工作要求</w:t>
      </w:r>
      <w:r>
        <w:rPr>
          <w:noProof/>
          <w:webHidden/>
        </w:rPr>
        <w:tab/>
      </w:r>
      <w:r>
        <w:rPr>
          <w:noProof/>
          <w:webHidden/>
        </w:rPr>
        <w:fldChar w:fldCharType="begin"/>
      </w:r>
      <w:r>
        <w:rPr>
          <w:noProof/>
          <w:webHidden/>
        </w:rPr>
        <w:instrText xml:space="preserve"> PAGEREF _Toc509241979 \h </w:instrText>
      </w:r>
      <w:r>
        <w:rPr>
          <w:noProof/>
          <w:webHidden/>
        </w:rPr>
        <w:fldChar w:fldCharType="separate"/>
      </w:r>
      <w:r>
        <w:rPr>
          <w:noProof/>
          <w:webHidden/>
        </w:rPr>
        <w:t>8</w:t>
      </w:r>
      <w:r>
        <w:rPr>
          <w:noProof/>
          <w:webHidden/>
        </w:rPr>
        <w:fldChar w:fldCharType="end"/>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"_Toc509241980" </w:instrText>
      </w:r>
      <w:r>
        <w:rPr/>
        <w:fldChar w:fldCharType="separate"/>
      </w:r>
      <w:r>
        <w:rPr>
          <w:rStyle w:val="style85"/>
          <w:rFonts w:hint="eastAsia"/>
          <w:noProof/>
        </w:rPr>
        <w:t>四、技术要求</w:t>
      </w:r>
      <w:r>
        <w:rPr>
          <w:noProof/>
          <w:webHidden/>
        </w:rPr>
        <w:tab/>
      </w:r>
      <w:r>
        <w:rPr>
          <w:noProof/>
          <w:webHidden/>
        </w:rPr>
        <w:fldChar w:fldCharType="begin"/>
      </w:r>
      <w:r>
        <w:rPr>
          <w:noProof/>
          <w:webHidden/>
        </w:rPr>
        <w:instrText xml:space="preserve"> PAGEREF _Toc509241980 \h </w:instrText>
      </w:r>
      <w:r>
        <w:rPr>
          <w:noProof/>
          <w:webHidden/>
        </w:rPr>
        <w:fldChar w:fldCharType="separate"/>
      </w:r>
      <w:r>
        <w:rPr>
          <w:noProof/>
          <w:webHidden/>
        </w:rPr>
        <w:t>9</w:t>
      </w:r>
      <w:r>
        <w:rPr>
          <w:noProof/>
          <w:webHidden/>
        </w:rPr>
        <w:fldChar w:fldCharType="end"/>
      </w:r>
      <w:r>
        <w:rPr/>
        <w:fldChar w:fldCharType="end"/>
      </w:r>
    </w:p>
    <w:p>
      <w:pPr>
        <w:pStyle w:val="style20"/>
        <w:tabs>
          <w:tab w:val="right" w:leader="dot" w:pos="9060"/>
        </w:tabs>
        <w:rPr>
          <w:rFonts w:ascii="Calibri" w:cs="宋体" w:eastAsia="宋体" w:hAnsi="Calibri"/>
          <w:noProof/>
        </w:rPr>
      </w:pPr>
      <w:r>
        <w:rPr/>
        <w:fldChar w:fldCharType="begin"/>
      </w:r>
      <w:r>
        <w:instrText xml:space="preserve"> HYPERLINK \l "_Toc509241981" </w:instrText>
      </w:r>
      <w:r>
        <w:rPr/>
        <w:fldChar w:fldCharType="separate"/>
      </w:r>
      <w:r>
        <w:rPr>
          <w:rStyle w:val="style85"/>
          <w:rFonts w:hint="eastAsia"/>
          <w:noProof/>
        </w:rPr>
        <w:t>五、售后服务</w:t>
      </w:r>
      <w:r>
        <w:rPr>
          <w:noProof/>
          <w:webHidden/>
        </w:rPr>
        <w:tab/>
      </w:r>
      <w:r>
        <w:rPr>
          <w:noProof/>
          <w:webHidden/>
        </w:rPr>
        <w:fldChar w:fldCharType="begin"/>
      </w:r>
      <w:r>
        <w:rPr>
          <w:noProof/>
          <w:webHidden/>
        </w:rPr>
        <w:instrText xml:space="preserve"> PAGEREF _Toc509241981 \h </w:instrText>
      </w:r>
      <w:r>
        <w:rPr>
          <w:noProof/>
          <w:webHidden/>
        </w:rPr>
        <w:fldChar w:fldCharType="separate"/>
      </w:r>
      <w:r>
        <w:rPr>
          <w:noProof/>
          <w:webHidden/>
        </w:rPr>
        <w:t>9</w:t>
      </w:r>
      <w:r>
        <w:rPr>
          <w:noProof/>
          <w:webHidden/>
        </w:rPr>
        <w:fldChar w:fldCharType="end"/>
      </w:r>
      <w:r>
        <w:rPr/>
        <w:fldChar w:fldCharType="end"/>
      </w:r>
    </w:p>
    <w:p>
      <w:pPr>
        <w:pStyle w:val="style19"/>
        <w:tabs>
          <w:tab w:val="right" w:leader="dot" w:pos="9060"/>
        </w:tabs>
        <w:rPr>
          <w:rFonts w:ascii="Calibri" w:cs="宋体" w:eastAsia="宋体" w:hAnsi="Calibri"/>
          <w:noProof/>
        </w:rPr>
      </w:pPr>
      <w:r>
        <w:rPr/>
        <w:fldChar w:fldCharType="begin"/>
      </w:r>
      <w:r>
        <w:instrText xml:space="preserve"> HYPERLINK \l "_Toc509241982" </w:instrText>
      </w:r>
      <w:r>
        <w:rPr/>
        <w:fldChar w:fldCharType="separate"/>
      </w:r>
      <w:r>
        <w:rPr>
          <w:rStyle w:val="style85"/>
          <w:rFonts w:hint="eastAsia"/>
          <w:noProof/>
        </w:rPr>
        <w:t>第四章</w:t>
      </w:r>
      <w:r>
        <w:rPr>
          <w:rStyle w:val="style85"/>
          <w:noProof/>
        </w:rPr>
        <w:t xml:space="preserve">  </w:t>
      </w:r>
      <w:r>
        <w:rPr>
          <w:rStyle w:val="style85"/>
          <w:rFonts w:hint="eastAsia"/>
          <w:noProof/>
        </w:rPr>
        <w:t>评选</w:t>
      </w:r>
      <w:r>
        <w:rPr>
          <w:rStyle w:val="style85"/>
          <w:rFonts w:hint="eastAsia"/>
          <w:noProof/>
        </w:rPr>
        <w:t>办法</w:t>
      </w:r>
      <w:r>
        <w:rPr>
          <w:noProof/>
          <w:webHidden/>
        </w:rPr>
        <w:tab/>
      </w:r>
      <w:r>
        <w:rPr>
          <w:noProof/>
          <w:webHidden/>
        </w:rPr>
        <w:fldChar w:fldCharType="begin"/>
      </w:r>
      <w:r>
        <w:rPr>
          <w:noProof/>
          <w:webHidden/>
        </w:rPr>
        <w:instrText xml:space="preserve"> PAGEREF _Toc509241982 \h </w:instrText>
      </w:r>
      <w:r>
        <w:rPr>
          <w:noProof/>
          <w:webHidden/>
        </w:rPr>
        <w:fldChar w:fldCharType="separate"/>
      </w:r>
      <w:r>
        <w:rPr>
          <w:noProof/>
          <w:webHidden/>
        </w:rPr>
        <w:t>1</w:t>
      </w:r>
      <w:r>
        <w:rPr>
          <w:rFonts w:hint="eastAsia"/>
          <w:noProof/>
          <w:webHidden/>
        </w:rPr>
        <w:t>0</w:t>
      </w:r>
      <w:r>
        <w:rPr>
          <w:noProof/>
          <w:webHidden/>
        </w:rPr>
        <w:fldChar w:fldCharType="end"/>
      </w:r>
      <w:r>
        <w:rPr/>
        <w:fldChar w:fldCharType="end"/>
      </w:r>
    </w:p>
    <w:p>
      <w:pPr>
        <w:pStyle w:val="style0"/>
        <w:rPr/>
      </w:pPr>
      <w:r>
        <w:rPr/>
        <w:fldChar w:fldCharType="end"/>
      </w:r>
    </w:p>
    <w:p>
      <w:pPr>
        <w:pStyle w:val="style0"/>
        <w:widowControl/>
        <w:jc w:val="left"/>
        <w:rPr>
          <w:b/>
          <w:bCs/>
          <w:kern w:val="44"/>
          <w:sz w:val="44"/>
          <w:szCs w:val="44"/>
        </w:rPr>
      </w:pPr>
      <w:r>
        <w:br w:type="page"/>
      </w:r>
    </w:p>
    <w:bookmarkStart w:id="0" w:name="_Toc509241966"/>
    <w:p>
      <w:pPr>
        <w:pStyle w:val="style1"/>
        <w:rPr/>
      </w:pPr>
      <w:r>
        <w:rPr>
          <w:rFonts w:hint="eastAsia"/>
        </w:rPr>
        <w:t>第一章</w:t>
      </w:r>
      <w:r>
        <w:rPr>
          <w:rFonts w:hint="eastAsia"/>
        </w:rPr>
        <w:t xml:space="preserve">    </w:t>
      </w:r>
      <w:r>
        <w:rPr>
          <w:rFonts w:hint="eastAsia"/>
        </w:rPr>
        <w:t>采购公告</w:t>
      </w:r>
      <w:bookmarkEnd w:id="0"/>
    </w:p>
    <w:p>
      <w:pPr>
        <w:pStyle w:val="style0"/>
        <w:spacing w:lineRule="auto" w:line="360"/>
        <w:ind w:firstLine="413" w:firstLineChars="196"/>
        <w:rPr>
          <w:rFonts w:ascii="宋体" w:eastAsia="宋体" w:hAnsi="宋体"/>
          <w:szCs w:val="21"/>
        </w:rPr>
      </w:pPr>
      <w:r>
        <w:rPr>
          <w:rFonts w:ascii="宋体" w:eastAsia="宋体" w:hAnsi="宋体" w:hint="eastAsia"/>
          <w:b/>
          <w:szCs w:val="21"/>
        </w:rPr>
        <w:t>一、采购项目名称</w:t>
      </w:r>
      <w:r>
        <w:rPr>
          <w:rFonts w:ascii="宋体" w:eastAsia="宋体" w:hAnsi="宋体" w:hint="eastAsia"/>
          <w:szCs w:val="21"/>
        </w:rPr>
        <w:t>：</w:t>
      </w:r>
      <w:r>
        <w:rPr>
          <w:rFonts w:ascii="宋体" w:eastAsia="宋体" w:hAnsi="宋体" w:hint="eastAsia"/>
          <w:szCs w:val="21"/>
          <w:u w:val="single"/>
        </w:rPr>
        <w:t>柳州市中医医院病媒生物防制服务</w:t>
      </w:r>
      <w:r>
        <w:rPr>
          <w:rFonts w:ascii="宋体" w:eastAsia="宋体" w:hAnsi="宋体" w:hint="eastAsia"/>
          <w:szCs w:val="21"/>
          <w:u w:val="single"/>
        </w:rPr>
        <w:t>采购</w:t>
      </w:r>
    </w:p>
    <w:p>
      <w:pPr>
        <w:pStyle w:val="style0"/>
        <w:spacing w:lineRule="auto" w:line="360"/>
        <w:ind w:firstLine="420"/>
        <w:rPr>
          <w:rFonts w:ascii="宋体" w:eastAsia="宋体" w:hAnsi="宋体"/>
          <w:szCs w:val="21"/>
        </w:rPr>
      </w:pPr>
      <w:r>
        <w:rPr>
          <w:rFonts w:ascii="宋体" w:eastAsia="宋体" w:hAnsi="宋体" w:hint="eastAsia"/>
          <w:b/>
          <w:szCs w:val="21"/>
        </w:rPr>
        <w:t>二、采购项目的名称、数量、简要规格描述或项目基本概况介绍</w:t>
      </w:r>
      <w:r>
        <w:rPr>
          <w:rFonts w:ascii="宋体" w:eastAsia="宋体" w:hAnsi="宋体" w:hint="eastAsia"/>
          <w:szCs w:val="21"/>
        </w:rPr>
        <w:t>：采购</w:t>
      </w:r>
      <w:r>
        <w:rPr>
          <w:rFonts w:ascii="宋体" w:eastAsia="宋体" w:hAnsi="宋体" w:hint="eastAsia"/>
          <w:szCs w:val="21"/>
        </w:rPr>
        <w:t>柳州市中医医院</w:t>
      </w:r>
      <w:r>
        <w:rPr>
          <w:rFonts w:ascii="宋体" w:eastAsia="宋体" w:hAnsi="宋体" w:hint="eastAsia"/>
          <w:szCs w:val="21"/>
        </w:rPr>
        <w:t>病媒生物防制服务一项；具体服务内容详见招标文件。</w:t>
      </w:r>
    </w:p>
    <w:p>
      <w:pPr>
        <w:pStyle w:val="style0"/>
        <w:spacing w:lineRule="auto" w:line="360"/>
        <w:ind w:firstLine="405"/>
        <w:rPr>
          <w:rFonts w:ascii="宋体" w:eastAsia="宋体" w:hAnsi="宋体"/>
          <w:b/>
          <w:szCs w:val="21"/>
        </w:rPr>
      </w:pPr>
      <w:r>
        <w:rPr>
          <w:rFonts w:ascii="宋体" w:eastAsia="宋体" w:hAnsi="宋体" w:hint="eastAsia"/>
          <w:b/>
          <w:color w:val="000000"/>
          <w:szCs w:val="21"/>
        </w:rPr>
        <w:t>三、</w:t>
      </w:r>
      <w:r>
        <w:rPr>
          <w:rFonts w:ascii="宋体" w:eastAsia="宋体" w:hAnsi="宋体" w:hint="eastAsia"/>
          <w:b/>
          <w:szCs w:val="21"/>
        </w:rPr>
        <w:t>供应商资格要求：</w:t>
      </w:r>
    </w:p>
    <w:p>
      <w:pPr>
        <w:pStyle w:val="style0"/>
        <w:spacing w:lineRule="auto" w:line="360"/>
        <w:ind w:firstLine="412" w:firstLineChars="196"/>
        <w:rPr>
          <w:rFonts w:ascii="宋体" w:eastAsia="宋体" w:hAnsi="宋体"/>
          <w:szCs w:val="21"/>
        </w:rPr>
      </w:pPr>
      <w:r>
        <w:rPr>
          <w:rFonts w:ascii="宋体" w:eastAsia="宋体" w:hAnsi="宋体" w:hint="eastAsia"/>
          <w:szCs w:val="21"/>
        </w:rPr>
        <w:t>1、符合《中华人民共和国政府采购法》第二十二条规定的条件，具有独立法人资格，为国内注册（指按国家有关规定要求注册），注册经营范围满足本次招标采购内容的供应商。</w:t>
      </w:r>
    </w:p>
    <w:p>
      <w:pPr>
        <w:pStyle w:val="style0"/>
        <w:spacing w:lineRule="auto" w:line="360"/>
        <w:ind w:firstLine="412" w:firstLineChars="196"/>
        <w:rPr>
          <w:rFonts w:ascii="宋体" w:eastAsia="宋体" w:hAnsi="宋体"/>
          <w:szCs w:val="21"/>
        </w:rPr>
      </w:pPr>
      <w:r>
        <w:rPr>
          <w:rFonts w:ascii="宋体" w:eastAsia="宋体" w:hAnsi="宋体" w:hint="eastAsia"/>
          <w:szCs w:val="21"/>
        </w:rPr>
        <w:t>2、本项目不接受联合体</w:t>
      </w:r>
      <w:r>
        <w:rPr>
          <w:rFonts w:ascii="宋体" w:eastAsia="宋体" w:hAnsi="宋体" w:hint="eastAsia"/>
          <w:szCs w:val="21"/>
        </w:rPr>
        <w:t>投标</w:t>
      </w:r>
      <w:r>
        <w:rPr>
          <w:rFonts w:ascii="宋体" w:eastAsia="宋体" w:hAnsi="宋体" w:hint="eastAsia"/>
          <w:szCs w:val="21"/>
        </w:rPr>
        <w:t>。</w:t>
      </w:r>
    </w:p>
    <w:p>
      <w:pPr>
        <w:pStyle w:val="style0"/>
        <w:spacing w:lineRule="auto" w:line="360"/>
        <w:ind w:firstLine="412" w:firstLineChars="196"/>
        <w:rPr>
          <w:rFonts w:ascii="宋体" w:eastAsia="宋体" w:hAnsi="宋体"/>
          <w:szCs w:val="21"/>
        </w:rPr>
      </w:pPr>
      <w:r>
        <w:rPr>
          <w:rFonts w:ascii="宋体" w:eastAsia="宋体" w:hAnsi="宋体" w:hint="eastAsia"/>
          <w:szCs w:val="21"/>
        </w:rPr>
        <w:t>3、对在“信用中国”网站(www.creditchina.gov.cn)、中国政府采购网(</w:t>
      </w:r>
      <w:r>
        <w:rPr>
          <w:rFonts w:ascii="宋体" w:eastAsia="宋体" w:hAnsi="宋体" w:hint="eastAsia"/>
          <w:szCs w:val="21"/>
        </w:rPr>
        <w:t>www.ccgp.gov.cn</w:t>
      </w:r>
      <w:r>
        <w:rPr>
          <w:rFonts w:ascii="宋体" w:eastAsia="宋体" w:hAnsi="宋体" w:hint="eastAsia"/>
          <w:szCs w:val="21"/>
        </w:rPr>
        <w:t>)等渠道列入失信被执行人、重大税收违法案件当事人名单、政府采购严重违法失信行为记录名单及其他不符合《中</w:t>
      </w:r>
      <w:r>
        <w:rPr>
          <w:rFonts w:ascii="宋体" w:eastAsia="宋体" w:hAnsi="宋体" w:hint="eastAsia"/>
          <w:szCs w:val="21"/>
        </w:rPr>
        <w:t>华人民共和国政府采购法》第二十二条规定条件的供应商，不得参与</w:t>
      </w:r>
      <w:r>
        <w:rPr>
          <w:rFonts w:ascii="宋体" w:eastAsia="宋体" w:hAnsi="宋体" w:hint="eastAsia"/>
          <w:szCs w:val="21"/>
        </w:rPr>
        <w:t>本</w:t>
      </w:r>
      <w:r>
        <w:rPr>
          <w:rFonts w:ascii="宋体" w:eastAsia="宋体" w:hAnsi="宋体" w:hint="eastAsia"/>
          <w:szCs w:val="21"/>
        </w:rPr>
        <w:t>采购活动。</w:t>
      </w:r>
    </w:p>
    <w:p>
      <w:pPr>
        <w:pStyle w:val="style0"/>
        <w:spacing w:lineRule="exact" w:line="520"/>
        <w:ind w:firstLine="480"/>
        <w:rPr>
          <w:rFonts w:ascii="宋体" w:eastAsia="宋体" w:hAnsi="宋体"/>
          <w:b/>
          <w:szCs w:val="21"/>
        </w:rPr>
      </w:pPr>
      <w:r>
        <w:rPr>
          <w:rFonts w:ascii="宋体" w:eastAsia="宋体" w:hAnsi="宋体" w:hint="eastAsia"/>
          <w:b/>
          <w:szCs w:val="21"/>
        </w:rPr>
        <w:t>四</w:t>
      </w:r>
      <w:r>
        <w:rPr>
          <w:rFonts w:ascii="宋体" w:eastAsia="宋体" w:hAnsi="宋体" w:hint="eastAsia"/>
          <w:b/>
          <w:szCs w:val="21"/>
        </w:rPr>
        <w:t>、</w:t>
      </w:r>
      <w:r>
        <w:rPr>
          <w:rFonts w:ascii="宋体" w:eastAsia="宋体" w:hAnsi="宋体" w:hint="eastAsia"/>
          <w:b/>
          <w:szCs w:val="21"/>
        </w:rPr>
        <w:t>缴纳费用</w:t>
      </w:r>
      <w:r>
        <w:rPr>
          <w:rFonts w:ascii="宋体" w:eastAsia="宋体" w:hAnsi="宋体" w:hint="eastAsia"/>
          <w:b/>
          <w:szCs w:val="21"/>
        </w:rPr>
        <w:t>说明</w:t>
      </w:r>
      <w:r>
        <w:rPr>
          <w:rFonts w:ascii="宋体" w:eastAsia="宋体" w:hAnsi="宋体" w:hint="eastAsia"/>
          <w:b/>
          <w:szCs w:val="21"/>
        </w:rPr>
        <w:t>：</w:t>
      </w:r>
    </w:p>
    <w:p>
      <w:pPr>
        <w:pStyle w:val="style0"/>
        <w:spacing w:lineRule="exact" w:line="520"/>
        <w:ind w:firstLine="480"/>
        <w:rPr>
          <w:rFonts w:ascii="宋体" w:eastAsia="宋体" w:hAnsi="宋体"/>
          <w:szCs w:val="21"/>
        </w:rPr>
      </w:pPr>
      <w:r>
        <w:rPr>
          <w:rFonts w:ascii="宋体" w:eastAsia="宋体" w:hAnsi="宋体" w:hint="eastAsia"/>
          <w:szCs w:val="21"/>
        </w:rPr>
        <w:t>1、</w:t>
      </w:r>
      <w:r>
        <w:rPr>
          <w:rFonts w:ascii="宋体" w:eastAsia="宋体" w:hAnsi="宋体" w:hint="eastAsia"/>
          <w:szCs w:val="21"/>
        </w:rPr>
        <w:t>供应单位应向医院缴纳100元的资料费、手续费和1000元的</w:t>
      </w:r>
      <w:r>
        <w:rPr>
          <w:rFonts w:ascii="宋体" w:cs="宋体" w:hAnsi="宋体"/>
          <w:color w:val="000000"/>
          <w:szCs w:val="21"/>
        </w:rPr>
        <w:t>投标保证金</w:t>
      </w:r>
      <w:r>
        <w:rPr>
          <w:rFonts w:ascii="宋体" w:cs="宋体" w:hAnsi="宋体" w:hint="eastAsia"/>
          <w:color w:val="000000"/>
          <w:szCs w:val="21"/>
        </w:rPr>
        <w:t>，</w:t>
      </w:r>
      <w:r>
        <w:rPr>
          <w:rFonts w:ascii="宋体" w:cs="宋体" w:hAnsi="宋体"/>
          <w:color w:val="000000"/>
          <w:szCs w:val="21"/>
        </w:rPr>
        <w:t>凭财务科收款证明参加投标</w:t>
      </w:r>
      <w:r>
        <w:rPr>
          <w:rFonts w:ascii="宋体" w:eastAsia="宋体" w:hAnsi="宋体" w:hint="eastAsia"/>
          <w:szCs w:val="21"/>
        </w:rPr>
        <w:t>。</w:t>
      </w:r>
    </w:p>
    <w:p>
      <w:pPr>
        <w:pStyle w:val="style0"/>
        <w:spacing w:lineRule="exact" w:line="520"/>
        <w:ind w:firstLine="480"/>
        <w:rPr>
          <w:szCs w:val="21"/>
        </w:rPr>
      </w:pPr>
      <w:r>
        <w:rPr>
          <w:rFonts w:ascii="宋体" w:eastAsia="宋体" w:hAnsi="宋体" w:hint="eastAsia"/>
          <w:szCs w:val="21"/>
        </w:rPr>
        <w:t>2、</w:t>
      </w:r>
      <w:r>
        <w:rPr>
          <w:rFonts w:ascii="宋体" w:eastAsia="宋体" w:hAnsi="宋体" w:hint="eastAsia"/>
          <w:szCs w:val="21"/>
        </w:rPr>
        <w:t>议价结束</w:t>
      </w:r>
      <w:r>
        <w:rPr>
          <w:rFonts w:ascii="宋体" w:eastAsia="宋体" w:hAnsi="宋体" w:hint="eastAsia"/>
          <w:szCs w:val="21"/>
        </w:rPr>
        <w:t>并签订服务合同</w:t>
      </w:r>
      <w:r>
        <w:rPr>
          <w:rFonts w:ascii="宋体" w:eastAsia="宋体" w:hAnsi="宋体" w:hint="eastAsia"/>
          <w:szCs w:val="21"/>
        </w:rPr>
        <w:t>后，如果没有发现投标单位有任何的违规，1000元的</w:t>
      </w:r>
      <w:r>
        <w:rPr>
          <w:rFonts w:ascii="宋体" w:cs="宋体" w:hAnsi="宋体"/>
          <w:color w:val="000000"/>
          <w:szCs w:val="21"/>
        </w:rPr>
        <w:t>投标保证金</w:t>
      </w:r>
      <w:r>
        <w:rPr>
          <w:rFonts w:ascii="宋体" w:eastAsia="宋体" w:hAnsi="宋体" w:hint="eastAsia"/>
          <w:szCs w:val="21"/>
        </w:rPr>
        <w:t>可立即退还给投标者，但100元资料、手续费不再退还给投标者。</w:t>
      </w:r>
    </w:p>
    <w:p>
      <w:pPr>
        <w:pStyle w:val="style0"/>
        <w:spacing w:lineRule="auto" w:line="360"/>
        <w:ind w:firstLine="413" w:firstLineChars="196"/>
        <w:rPr>
          <w:rFonts w:ascii="宋体" w:eastAsia="宋体" w:hAnsi="宋体"/>
          <w:b/>
          <w:szCs w:val="21"/>
        </w:rPr>
      </w:pPr>
      <w:r>
        <w:rPr>
          <w:rFonts w:ascii="宋体" w:eastAsia="宋体" w:hAnsi="宋体" w:hint="eastAsia"/>
          <w:b/>
          <w:szCs w:val="21"/>
        </w:rPr>
        <w:t>五</w:t>
      </w:r>
      <w:r>
        <w:rPr>
          <w:rFonts w:ascii="宋体" w:eastAsia="宋体" w:hAnsi="宋体" w:hint="eastAsia"/>
          <w:b/>
          <w:szCs w:val="21"/>
        </w:rPr>
        <w:t>、</w:t>
      </w:r>
      <w:r>
        <w:rPr>
          <w:rFonts w:ascii="宋体" w:eastAsia="宋体" w:hAnsi="宋体" w:hint="eastAsia"/>
          <w:b/>
          <w:szCs w:val="21"/>
        </w:rPr>
        <w:t>投标文件截止时间和地点</w:t>
      </w:r>
      <w:r>
        <w:rPr>
          <w:rFonts w:ascii="宋体" w:eastAsia="宋体" w:hAnsi="宋体"/>
          <w:b/>
          <w:szCs w:val="21"/>
        </w:rPr>
        <w:t>:</w:t>
      </w:r>
    </w:p>
    <w:p>
      <w:pPr>
        <w:pStyle w:val="style0"/>
        <w:spacing w:lineRule="auto" w:line="360"/>
        <w:ind w:firstLine="420" w:firstLineChars="200"/>
        <w:rPr>
          <w:rFonts w:ascii="宋体" w:eastAsia="宋体" w:hAnsi="宋体"/>
          <w:szCs w:val="21"/>
        </w:rPr>
      </w:pPr>
      <w:r>
        <w:rPr>
          <w:rFonts w:ascii="宋体" w:eastAsia="宋体" w:hAnsi="宋体" w:hint="eastAsia"/>
          <w:szCs w:val="21"/>
        </w:rPr>
        <w:t>1、于2018年</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日1</w:t>
      </w:r>
      <w:r>
        <w:rPr>
          <w:rFonts w:ascii="宋体" w:eastAsia="宋体" w:hAnsi="宋体" w:hint="eastAsia"/>
          <w:szCs w:val="21"/>
        </w:rPr>
        <w:t>2:0</w:t>
      </w:r>
      <w:r>
        <w:rPr>
          <w:rFonts w:ascii="宋体" w:eastAsia="宋体" w:hAnsi="宋体" w:hint="eastAsia"/>
          <w:szCs w:val="21"/>
        </w:rPr>
        <w:t>0</w:t>
      </w:r>
      <w:r>
        <w:rPr>
          <w:rFonts w:ascii="宋体" w:eastAsia="宋体" w:hAnsi="宋体" w:hint="eastAsia"/>
          <w:szCs w:val="21"/>
        </w:rPr>
        <w:t>截</w:t>
      </w:r>
      <w:r>
        <w:rPr>
          <w:rFonts w:ascii="宋体" w:eastAsia="宋体" w:hAnsi="宋体" w:hint="eastAsia"/>
          <w:szCs w:val="21"/>
        </w:rPr>
        <w:t>止，将</w:t>
      </w:r>
      <w:r>
        <w:rPr>
          <w:rFonts w:ascii="宋体" w:eastAsia="宋体" w:hAnsi="宋体" w:hint="eastAsia"/>
          <w:szCs w:val="21"/>
        </w:rPr>
        <w:t>投标</w:t>
      </w:r>
      <w:r>
        <w:rPr>
          <w:rFonts w:ascii="宋体" w:eastAsia="宋体" w:hAnsi="宋体" w:hint="eastAsia"/>
          <w:szCs w:val="21"/>
        </w:rPr>
        <w:t>文件密封</w:t>
      </w:r>
      <w:r>
        <w:rPr>
          <w:rFonts w:ascii="宋体" w:eastAsia="宋体" w:hAnsi="宋体" w:hint="eastAsia"/>
          <w:szCs w:val="21"/>
        </w:rPr>
        <w:t>并密封处签章</w:t>
      </w:r>
      <w:r>
        <w:rPr>
          <w:rFonts w:ascii="宋体" w:eastAsia="宋体" w:hAnsi="宋体" w:hint="eastAsia"/>
          <w:szCs w:val="21"/>
        </w:rPr>
        <w:t>提交</w:t>
      </w:r>
      <w:r>
        <w:rPr>
          <w:rFonts w:ascii="宋体" w:eastAsia="宋体" w:hAnsi="宋体" w:hint="eastAsia"/>
          <w:szCs w:val="21"/>
        </w:rPr>
        <w:t>或邮寄</w:t>
      </w:r>
      <w:r>
        <w:rPr>
          <w:rFonts w:ascii="宋体" w:eastAsia="宋体" w:hAnsi="宋体" w:hint="eastAsia"/>
          <w:szCs w:val="21"/>
        </w:rPr>
        <w:t>到</w:t>
      </w:r>
      <w:r>
        <w:rPr>
          <w:rFonts w:ascii="宋体" w:cs="宋体" w:eastAsia="宋体" w:hAnsi="宋体" w:hint="eastAsia"/>
          <w:szCs w:val="21"/>
          <w:u w:val="single"/>
          <w:shd w:val="clear" w:color="auto" w:fill="ffffff"/>
        </w:rPr>
        <w:t>地址：</w:t>
      </w:r>
      <w:r>
        <w:rPr>
          <w:rFonts w:ascii="宋体" w:cs="宋体" w:eastAsia="宋体" w:hAnsi="宋体" w:hint="eastAsia"/>
          <w:szCs w:val="21"/>
          <w:u w:val="single"/>
          <w:shd w:val="clear" w:color="auto" w:fill="ffffff"/>
        </w:rPr>
        <w:t>柳州市</w:t>
      </w:r>
      <w:r>
        <w:rPr>
          <w:rFonts w:ascii="宋体" w:cs="宋体" w:eastAsia="宋体" w:hAnsi="宋体" w:hint="eastAsia"/>
          <w:szCs w:val="21"/>
          <w:u w:val="single"/>
          <w:shd w:val="clear" w:color="auto" w:fill="ffffff"/>
        </w:rPr>
        <w:t>城中区东环大道延长线红葫路6号，</w:t>
      </w:r>
      <w:r>
        <w:rPr>
          <w:rFonts w:ascii="宋体" w:cs="宋体" w:eastAsia="宋体" w:hAnsi="宋体" w:hint="eastAsia"/>
          <w:szCs w:val="21"/>
          <w:u w:val="single"/>
          <w:shd w:val="clear" w:color="auto" w:fill="ffffff"/>
        </w:rPr>
        <w:t>柳州市中医医院办公室（请注明采购议价），</w:t>
      </w:r>
      <w:r>
        <w:rPr>
          <w:rFonts w:ascii="宋体" w:cs="宋体" w:eastAsia="宋体" w:hAnsi="宋体" w:hint="eastAsia"/>
          <w:szCs w:val="21"/>
          <w:u w:val="single"/>
          <w:shd w:val="clear" w:color="auto" w:fill="ffffff"/>
        </w:rPr>
        <w:t>收件人：黄子秦</w:t>
      </w:r>
      <w:r>
        <w:rPr>
          <w:rFonts w:ascii="宋体" w:eastAsia="宋体" w:hAnsi="宋体" w:hint="eastAsia"/>
          <w:szCs w:val="21"/>
        </w:rPr>
        <w:t>，</w:t>
      </w:r>
      <w:r>
        <w:rPr>
          <w:rFonts w:ascii="宋体" w:eastAsia="宋体" w:hAnsi="宋体" w:hint="eastAsia"/>
          <w:szCs w:val="21"/>
        </w:rPr>
        <w:t>邮编：545001，电话：0772-3357110，</w:t>
      </w:r>
      <w:r>
        <w:rPr>
          <w:rFonts w:ascii="宋体" w:eastAsia="宋体" w:hAnsi="宋体" w:hint="eastAsia"/>
          <w:szCs w:val="21"/>
        </w:rPr>
        <w:t>逾期</w:t>
      </w:r>
      <w:r>
        <w:rPr>
          <w:rFonts w:ascii="宋体" w:eastAsia="宋体" w:hAnsi="宋体" w:hint="eastAsia"/>
          <w:szCs w:val="21"/>
        </w:rPr>
        <w:t>邮寄或</w:t>
      </w:r>
      <w:r>
        <w:rPr>
          <w:rFonts w:ascii="宋体" w:eastAsia="宋体" w:hAnsi="宋体" w:hint="eastAsia"/>
          <w:szCs w:val="21"/>
        </w:rPr>
        <w:t>送达的将予以拒收。</w:t>
      </w:r>
    </w:p>
    <w:p>
      <w:pPr>
        <w:pStyle w:val="style0"/>
        <w:spacing w:lineRule="auto" w:line="360"/>
        <w:ind w:firstLine="420" w:firstLineChars="200"/>
        <w:rPr>
          <w:rFonts w:ascii="宋体" w:eastAsia="宋体" w:hAnsi="宋体"/>
          <w:szCs w:val="21"/>
        </w:rPr>
      </w:pPr>
      <w:r>
        <w:rPr>
          <w:rFonts w:ascii="宋体" w:eastAsia="宋体" w:hAnsi="宋体" w:hint="eastAsia"/>
          <w:szCs w:val="21"/>
        </w:rPr>
        <w:t>2、</w:t>
      </w:r>
      <w:r>
        <w:rPr>
          <w:rFonts w:ascii="宋体" w:eastAsia="宋体" w:hAnsi="宋体" w:hint="eastAsia"/>
          <w:szCs w:val="21"/>
        </w:rPr>
        <w:t>开标时间</w:t>
      </w:r>
      <w:r>
        <w:rPr>
          <w:rFonts w:ascii="宋体" w:eastAsia="宋体" w:hAnsi="宋体" w:hint="eastAsia"/>
          <w:szCs w:val="21"/>
        </w:rPr>
        <w:t>：</w:t>
      </w:r>
      <w:r>
        <w:rPr>
          <w:rFonts w:ascii="宋体" w:eastAsia="宋体" w:hAnsi="宋体" w:hint="eastAsia"/>
          <w:szCs w:val="21"/>
        </w:rPr>
        <w:t>另行电话通知，</w:t>
      </w:r>
      <w:r>
        <w:rPr>
          <w:rFonts w:ascii="宋体" w:eastAsia="宋体" w:hAnsi="宋体" w:hint="eastAsia"/>
          <w:szCs w:val="21"/>
        </w:rPr>
        <w:t>采购议价地点：柳州市中医医院东院规培楼四楼第四会议室，</w:t>
      </w:r>
      <w:r>
        <w:rPr>
          <w:rFonts w:ascii="宋体" w:eastAsia="宋体" w:hAnsi="宋体" w:hint="eastAsia"/>
          <w:szCs w:val="21"/>
        </w:rPr>
        <w:t>参加</w:t>
      </w:r>
      <w:r>
        <w:rPr>
          <w:rFonts w:ascii="宋体" w:eastAsia="宋体" w:hAnsi="宋体" w:hint="eastAsia"/>
          <w:szCs w:val="21"/>
        </w:rPr>
        <w:t>投标</w:t>
      </w:r>
      <w:r>
        <w:rPr>
          <w:rFonts w:ascii="宋体" w:eastAsia="宋体" w:hAnsi="宋体" w:hint="eastAsia"/>
          <w:szCs w:val="21"/>
        </w:rPr>
        <w:t>供应商的法定代表人</w:t>
      </w:r>
      <w:r>
        <w:rPr>
          <w:rFonts w:ascii="宋体" w:eastAsia="宋体" w:hAnsi="宋体"/>
          <w:szCs w:val="21"/>
        </w:rPr>
        <w:t>(</w:t>
      </w:r>
      <w:r>
        <w:rPr>
          <w:rFonts w:ascii="宋体" w:eastAsia="宋体" w:hAnsi="宋体" w:hint="eastAsia"/>
          <w:szCs w:val="21"/>
        </w:rPr>
        <w:t>负责人</w:t>
      </w:r>
      <w:r>
        <w:rPr>
          <w:rFonts w:ascii="宋体" w:eastAsia="宋体" w:hAnsi="宋体"/>
          <w:szCs w:val="21"/>
        </w:rPr>
        <w:t>)</w:t>
      </w:r>
      <w:r>
        <w:rPr>
          <w:rFonts w:ascii="宋体" w:eastAsia="宋体" w:hAnsi="宋体" w:hint="eastAsia"/>
          <w:szCs w:val="21"/>
        </w:rPr>
        <w:t>或委托代理人必须持有效证件</w:t>
      </w:r>
      <w:r>
        <w:rPr>
          <w:rFonts w:ascii="宋体" w:eastAsia="宋体" w:hAnsi="宋体"/>
          <w:szCs w:val="21"/>
        </w:rPr>
        <w:t>[</w:t>
      </w:r>
      <w:r>
        <w:rPr>
          <w:rFonts w:ascii="宋体" w:eastAsia="宋体" w:hAnsi="宋体" w:hint="eastAsia"/>
          <w:szCs w:val="21"/>
        </w:rPr>
        <w:t>法定代表人</w:t>
      </w:r>
      <w:r>
        <w:rPr>
          <w:rFonts w:ascii="宋体" w:eastAsia="宋体" w:hAnsi="宋体"/>
          <w:szCs w:val="21"/>
        </w:rPr>
        <w:t>(</w:t>
      </w:r>
      <w:r>
        <w:rPr>
          <w:rFonts w:ascii="宋体" w:eastAsia="宋体" w:hAnsi="宋体" w:hint="eastAsia"/>
          <w:szCs w:val="21"/>
        </w:rPr>
        <w:t>负责人</w:t>
      </w:r>
      <w:r>
        <w:rPr>
          <w:rFonts w:ascii="宋体" w:eastAsia="宋体" w:hAnsi="宋体"/>
          <w:szCs w:val="21"/>
        </w:rPr>
        <w:t>)</w:t>
      </w:r>
      <w:r>
        <w:rPr>
          <w:rFonts w:ascii="宋体" w:eastAsia="宋体" w:hAnsi="宋体" w:hint="eastAsia"/>
          <w:szCs w:val="21"/>
        </w:rPr>
        <w:t>凭身份证或委托代理人凭法人授权委托书原件和身份证</w:t>
      </w:r>
      <w:r>
        <w:rPr>
          <w:rFonts w:ascii="宋体" w:eastAsia="宋体" w:hAnsi="宋体"/>
          <w:szCs w:val="21"/>
        </w:rPr>
        <w:t>]</w:t>
      </w:r>
      <w:r>
        <w:rPr>
          <w:rFonts w:ascii="宋体" w:eastAsia="宋体" w:hAnsi="宋体" w:hint="eastAsia"/>
          <w:szCs w:val="21"/>
        </w:rPr>
        <w:t>依时到达指定地点。</w:t>
      </w:r>
    </w:p>
    <w:p>
      <w:pPr>
        <w:pStyle w:val="style0"/>
        <w:spacing w:lineRule="auto" w:line="360"/>
        <w:ind w:firstLine="413" w:firstLineChars="196"/>
        <w:rPr>
          <w:rFonts w:ascii="宋体" w:eastAsia="宋体" w:hAnsi="宋体"/>
          <w:b/>
          <w:szCs w:val="21"/>
        </w:rPr>
      </w:pPr>
      <w:r>
        <w:rPr>
          <w:rFonts w:ascii="宋体" w:eastAsia="宋体" w:hAnsi="宋体" w:hint="eastAsia"/>
          <w:b/>
          <w:szCs w:val="21"/>
        </w:rPr>
        <w:t>六</w:t>
      </w:r>
      <w:r>
        <w:rPr>
          <w:rFonts w:ascii="宋体" w:eastAsia="宋体" w:hAnsi="宋体" w:hint="eastAsia"/>
          <w:b/>
          <w:szCs w:val="21"/>
        </w:rPr>
        <w:t>、联系事项：</w:t>
      </w:r>
    </w:p>
    <w:p>
      <w:pPr>
        <w:pStyle w:val="style0"/>
        <w:spacing w:lineRule="auto" w:line="360"/>
        <w:ind w:firstLine="405"/>
        <w:rPr>
          <w:rFonts w:ascii="宋体" w:eastAsia="宋体" w:hAnsi="宋体"/>
          <w:szCs w:val="21"/>
        </w:rPr>
      </w:pPr>
      <w:r>
        <w:rPr>
          <w:rFonts w:ascii="宋体" w:eastAsia="宋体" w:hAnsi="宋体"/>
          <w:szCs w:val="21"/>
        </w:rPr>
        <w:t>1.</w:t>
      </w:r>
      <w:r>
        <w:rPr>
          <w:rFonts w:ascii="宋体" w:eastAsia="宋体" w:hAnsi="宋体" w:hint="eastAsia"/>
          <w:szCs w:val="21"/>
        </w:rPr>
        <w:t>采购人名称：</w:t>
      </w:r>
      <w:r>
        <w:rPr>
          <w:rFonts w:ascii="宋体" w:eastAsia="宋体" w:hAnsi="宋体" w:hint="eastAsia"/>
          <w:bCs/>
          <w:szCs w:val="21"/>
          <w:u w:val="single"/>
        </w:rPr>
        <w:t>柳州市中医</w:t>
      </w:r>
      <w:r>
        <w:rPr>
          <w:rFonts w:ascii="宋体" w:eastAsia="宋体" w:hAnsi="宋体" w:hint="eastAsia"/>
          <w:bCs/>
          <w:szCs w:val="21"/>
          <w:u w:val="single"/>
        </w:rPr>
        <w:t>医院</w:t>
      </w:r>
      <w:r>
        <w:rPr>
          <w:rFonts w:ascii="宋体" w:eastAsia="宋体" w:hAnsi="宋体" w:hint="eastAsia"/>
          <w:bCs/>
          <w:szCs w:val="21"/>
        </w:rPr>
        <w:t xml:space="preserve">      </w:t>
      </w:r>
      <w:r>
        <w:rPr>
          <w:rFonts w:ascii="宋体" w:eastAsia="宋体" w:hAnsi="宋体" w:hint="eastAsia"/>
          <w:szCs w:val="21"/>
        </w:rPr>
        <w:t>地址：</w:t>
      </w:r>
      <w:r>
        <w:rPr>
          <w:rFonts w:ascii="宋体" w:cs="宋体" w:eastAsia="宋体" w:hAnsi="宋体" w:hint="eastAsia"/>
          <w:szCs w:val="21"/>
          <w:u w:val="single"/>
          <w:shd w:val="clear" w:color="auto" w:fill="ffffff"/>
        </w:rPr>
        <w:t>柳州市</w:t>
      </w:r>
      <w:r>
        <w:rPr>
          <w:rFonts w:ascii="宋体" w:cs="宋体" w:eastAsia="宋体" w:hAnsi="宋体" w:hint="eastAsia"/>
          <w:szCs w:val="21"/>
          <w:u w:val="single"/>
          <w:shd w:val="clear" w:color="auto" w:fill="ffffff"/>
        </w:rPr>
        <w:t>城中区东环大道延长线红葫路6号</w:t>
      </w:r>
    </w:p>
    <w:p>
      <w:pPr>
        <w:pStyle w:val="style0"/>
        <w:spacing w:lineRule="auto" w:line="360"/>
        <w:ind w:firstLine="420" w:firstLineChars="200"/>
        <w:rPr>
          <w:rFonts w:ascii="宋体" w:eastAsia="宋体" w:hAnsi="宋体"/>
          <w:szCs w:val="21"/>
        </w:rPr>
      </w:pPr>
      <w:r>
        <w:rPr>
          <w:rFonts w:ascii="宋体" w:eastAsia="宋体" w:hAnsi="宋体" w:hint="eastAsia"/>
          <w:szCs w:val="21"/>
        </w:rPr>
        <w:t>相关事宜咨询</w:t>
      </w:r>
      <w:r>
        <w:rPr>
          <w:rFonts w:ascii="宋体" w:eastAsia="宋体" w:hAnsi="宋体" w:hint="eastAsia"/>
          <w:szCs w:val="21"/>
        </w:rPr>
        <w:t>电话</w:t>
      </w:r>
      <w:r>
        <w:rPr>
          <w:rFonts w:ascii="宋体" w:eastAsia="宋体" w:hAnsi="宋体"/>
          <w:szCs w:val="21"/>
        </w:rPr>
        <w:t>:</w:t>
      </w:r>
      <w:r>
        <w:rPr>
          <w:rFonts w:ascii="宋体" w:eastAsia="宋体" w:hAnsi="宋体" w:hint="eastAsia"/>
          <w:szCs w:val="21"/>
        </w:rPr>
        <w:t xml:space="preserve"> </w:t>
      </w:r>
    </w:p>
    <w:p>
      <w:pPr>
        <w:pStyle w:val="style0"/>
        <w:spacing w:lineRule="auto" w:line="360"/>
        <w:ind w:firstLine="420" w:firstLineChars="200"/>
        <w:rPr>
          <w:rFonts w:ascii="宋体" w:eastAsia="宋体" w:hAnsi="宋体"/>
          <w:szCs w:val="21"/>
        </w:rPr>
      </w:pPr>
      <w:r>
        <w:rPr>
          <w:rFonts w:ascii="宋体" w:eastAsia="宋体" w:hAnsi="宋体" w:hint="eastAsia"/>
          <w:szCs w:val="21"/>
        </w:rPr>
        <w:t>防保科电</w:t>
      </w:r>
      <w:bookmarkStart w:id="1" w:name="_GoBack"/>
      <w:bookmarkEnd w:id="1"/>
      <w:r>
        <w:rPr>
          <w:rFonts w:ascii="宋体" w:eastAsia="宋体" w:hAnsi="宋体" w:hint="eastAsia"/>
          <w:szCs w:val="21"/>
        </w:rPr>
        <w:t xml:space="preserve">话：0772-3357018 </w:t>
      </w:r>
      <w:r>
        <w:rPr>
          <w:rFonts w:ascii="宋体" w:eastAsia="宋体" w:hAnsi="宋体" w:hint="eastAsia"/>
          <w:szCs w:val="21"/>
        </w:rPr>
        <w:t xml:space="preserve">  </w:t>
      </w:r>
      <w:r>
        <w:rPr>
          <w:rFonts w:ascii="宋体" w:eastAsia="宋体" w:hAnsi="宋体" w:hint="eastAsia"/>
          <w:szCs w:val="21"/>
        </w:rPr>
        <w:t xml:space="preserve">审计科电话：0772-3357126    </w:t>
      </w:r>
      <w:r>
        <w:rPr>
          <w:rFonts w:ascii="宋体" w:eastAsia="宋体" w:hAnsi="宋体" w:hint="eastAsia"/>
          <w:szCs w:val="21"/>
        </w:rPr>
        <w:t xml:space="preserve"> </w:t>
      </w:r>
      <w:r>
        <w:rPr>
          <w:rFonts w:ascii="宋体" w:eastAsia="宋体" w:hAnsi="宋体" w:hint="eastAsia"/>
          <w:szCs w:val="21"/>
        </w:rPr>
        <w:t>纪检监察电话：0772-3357113</w:t>
      </w:r>
    </w:p>
    <w:p>
      <w:pPr>
        <w:pStyle w:val="style0"/>
        <w:spacing w:lineRule="auto" w:line="360"/>
        <w:ind w:firstLine="422" w:firstLineChars="200"/>
        <w:rPr>
          <w:rFonts w:ascii="宋体" w:eastAsia="宋体" w:hAnsi="宋体"/>
          <w:szCs w:val="21"/>
        </w:rPr>
      </w:pPr>
      <w:r>
        <w:rPr>
          <w:rFonts w:ascii="宋体" w:eastAsia="宋体" w:hAnsi="宋体" w:hint="eastAsia"/>
          <w:b/>
          <w:szCs w:val="21"/>
        </w:rPr>
        <w:t>七</w:t>
      </w:r>
      <w:r>
        <w:rPr>
          <w:rFonts w:ascii="宋体" w:eastAsia="宋体" w:hAnsi="宋体" w:hint="eastAsia"/>
          <w:b/>
          <w:szCs w:val="21"/>
        </w:rPr>
        <w:t>、</w:t>
      </w:r>
      <w:r>
        <w:rPr>
          <w:rFonts w:ascii="宋体" w:cs="宋体" w:eastAsia="宋体" w:hAnsi="宋体"/>
          <w:b/>
          <w:szCs w:val="21"/>
        </w:rPr>
        <w:t>网上查询：</w:t>
      </w:r>
      <w:r>
        <w:rPr>
          <w:rFonts w:ascii="宋体" w:eastAsia="宋体" w:hAnsi="宋体"/>
          <w:szCs w:val="21"/>
        </w:rPr>
        <w:t>广西柳州市</w:t>
      </w:r>
      <w:r>
        <w:rPr>
          <w:rFonts w:ascii="宋体" w:eastAsia="宋体" w:hAnsi="宋体" w:hint="eastAsia"/>
          <w:szCs w:val="21"/>
        </w:rPr>
        <w:t>中医</w:t>
      </w:r>
      <w:r>
        <w:rPr>
          <w:rFonts w:ascii="宋体" w:eastAsia="宋体" w:hAnsi="宋体"/>
          <w:szCs w:val="21"/>
        </w:rPr>
        <w:t>医院</w:t>
      </w:r>
      <w:r>
        <w:rPr>
          <w:rFonts w:ascii="宋体" w:eastAsia="宋体" w:hAnsi="宋体" w:hint="eastAsia"/>
          <w:szCs w:val="21"/>
          <w:lang w:eastAsia="zh-CN"/>
        </w:rPr>
        <w:t>外</w:t>
      </w:r>
      <w:r>
        <w:rPr>
          <w:rFonts w:ascii="宋体" w:cs="宋体" w:eastAsia="宋体" w:hAnsi="宋体"/>
          <w:szCs w:val="21"/>
        </w:rPr>
        <w:t>网</w:t>
      </w:r>
      <w:r>
        <w:rPr>
          <w:rFonts w:ascii="宋体" w:cs="宋体" w:eastAsia="宋体" w:hAnsi="宋体" w:hint="eastAsia"/>
          <w:szCs w:val="21"/>
        </w:rPr>
        <w:t>（http://</w:t>
      </w:r>
      <w:r>
        <w:rPr>
          <w:rFonts w:ascii="宋体" w:cs="宋体" w:eastAsia="宋体" w:hAnsi="宋体" w:hint="eastAsia"/>
          <w:szCs w:val="21"/>
          <w:lang w:eastAsia="zh-CN"/>
        </w:rPr>
        <w:t>www</w:t>
      </w:r>
      <w:r>
        <w:rPr>
          <w:rFonts w:ascii="宋体" w:cs="宋体" w:eastAsia="宋体" w:hAnsi="宋体" w:hint="eastAsia"/>
          <w:szCs w:val="21"/>
        </w:rPr>
        <w:t>.</w:t>
      </w:r>
      <w:r>
        <w:rPr>
          <w:rFonts w:ascii="宋体" w:cs="宋体" w:eastAsia="宋体" w:hAnsi="宋体" w:hint="eastAsia"/>
          <w:szCs w:val="21"/>
          <w:lang w:eastAsia="zh-CN"/>
        </w:rPr>
        <w:t>lzzyy</w:t>
      </w:r>
      <w:r>
        <w:rPr>
          <w:rFonts w:ascii="宋体" w:cs="宋体" w:eastAsia="宋体" w:hAnsi="宋体" w:hint="eastAsia"/>
          <w:szCs w:val="21"/>
        </w:rPr>
        <w:t>.</w:t>
      </w:r>
      <w:r>
        <w:rPr>
          <w:rFonts w:ascii="宋体" w:cs="宋体" w:eastAsia="宋体" w:hAnsi="宋体" w:hint="eastAsia"/>
          <w:szCs w:val="21"/>
          <w:lang w:eastAsia="zh-CN"/>
        </w:rPr>
        <w:t>com</w:t>
      </w:r>
      <w:r>
        <w:rPr>
          <w:rFonts w:ascii="宋体" w:cs="宋体" w:eastAsia="宋体" w:hAnsi="宋体" w:hint="eastAsia"/>
          <w:szCs w:val="21"/>
        </w:rPr>
        <w:t>/）</w:t>
      </w:r>
      <w:r>
        <w:rPr>
          <w:rFonts w:ascii="宋体" w:eastAsia="宋体" w:hAnsi="宋体"/>
          <w:szCs w:val="21"/>
        </w:rPr>
        <w:br w:type="page"/>
      </w:r>
    </w:p>
    <w:bookmarkStart w:id="2" w:name="_Toc509241967"/>
    <w:p>
      <w:pPr>
        <w:pStyle w:val="style1"/>
        <w:rPr/>
      </w:pPr>
      <w:r>
        <w:rPr>
          <w:rFonts w:hint="eastAsia"/>
        </w:rPr>
        <w:t>第二章</w:t>
      </w:r>
      <w:r>
        <w:rPr>
          <w:rFonts w:hint="eastAsia"/>
        </w:rPr>
        <w:t xml:space="preserve">    </w:t>
      </w:r>
      <w:r>
        <w:rPr>
          <w:rFonts w:hint="eastAsia"/>
        </w:rPr>
        <w:t>投标须知</w:t>
      </w:r>
      <w:bookmarkEnd w:id="2"/>
    </w:p>
    <w:bookmarkStart w:id="3" w:name="_Toc509241968"/>
    <w:p>
      <w:pPr>
        <w:pStyle w:val="style2"/>
        <w:rPr/>
      </w:pPr>
      <w:r>
        <w:rPr>
          <w:rFonts w:hint="eastAsia"/>
        </w:rPr>
        <w:t>一、</w:t>
      </w:r>
      <w:r>
        <w:rPr>
          <w:rFonts w:hint="eastAsia"/>
        </w:rPr>
        <w:t>工程综合说明：</w:t>
      </w:r>
      <w:bookmarkEnd w:id="3"/>
    </w:p>
    <w:p>
      <w:pPr>
        <w:pStyle w:val="style0"/>
        <w:spacing w:lineRule="auto" w:line="360"/>
        <w:rPr>
          <w:rFonts w:ascii="宋体" w:eastAsia="宋体" w:hAnsi="宋体"/>
          <w:color w:val="0070c0"/>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 xml:space="preserve"> 工程名称：</w:t>
      </w:r>
      <w:r>
        <w:rPr>
          <w:rFonts w:ascii="宋体" w:eastAsia="宋体" w:hAnsi="宋体" w:hint="eastAsia"/>
          <w:szCs w:val="21"/>
          <w:u w:val="single"/>
        </w:rPr>
        <w:t>柳州市中医医院</w:t>
      </w:r>
      <w:r>
        <w:rPr>
          <w:rFonts w:ascii="宋体" w:eastAsia="宋体" w:hAnsi="宋体" w:hint="eastAsia"/>
          <w:szCs w:val="21"/>
          <w:u w:val="single"/>
        </w:rPr>
        <w:t>病媒生物防制</w:t>
      </w:r>
      <w:r>
        <w:rPr>
          <w:rFonts w:ascii="宋体" w:eastAsia="宋体" w:hAnsi="宋体" w:hint="eastAsia"/>
          <w:szCs w:val="21"/>
          <w:u w:val="single"/>
        </w:rPr>
        <w:t>项目</w:t>
      </w:r>
    </w:p>
    <w:p>
      <w:pPr>
        <w:pStyle w:val="style0"/>
        <w:spacing w:lineRule="auto" w:line="360"/>
        <w:ind w:firstLine="420" w:firstLineChars="200"/>
        <w:rPr>
          <w:rFonts w:ascii="宋体" w:eastAsia="宋体" w:hAnsi="宋体"/>
          <w:szCs w:val="21"/>
        </w:rPr>
      </w:pPr>
      <w:r>
        <w:rPr>
          <w:rFonts w:ascii="宋体" w:eastAsia="宋体" w:hAnsi="宋体" w:hint="eastAsia"/>
          <w:szCs w:val="21"/>
        </w:rPr>
        <w:t>工程地址：</w:t>
      </w:r>
      <w:r>
        <w:rPr>
          <w:rFonts w:ascii="宋体" w:eastAsia="宋体" w:hAnsi="宋体" w:hint="eastAsia"/>
          <w:szCs w:val="21"/>
          <w:u w:val="single"/>
        </w:rPr>
        <w:t>广西柳州市</w:t>
      </w:r>
      <w:r>
        <w:rPr>
          <w:rFonts w:ascii="宋体" w:eastAsia="宋体" w:hAnsi="宋体" w:hint="eastAsia"/>
          <w:szCs w:val="21"/>
          <w:u w:val="single"/>
        </w:rPr>
        <w:t>城中区</w:t>
      </w:r>
      <w:r>
        <w:rPr>
          <w:rFonts w:ascii="宋体" w:cs="宋体" w:eastAsia="宋体" w:hAnsi="宋体" w:hint="eastAsia"/>
          <w:szCs w:val="21"/>
          <w:u w:val="single"/>
          <w:shd w:val="clear" w:color="auto" w:fill="ffffff"/>
        </w:rPr>
        <w:t>东环大道延长线红葫路6号</w:t>
      </w:r>
      <w:r>
        <w:rPr>
          <w:rFonts w:ascii="宋体" w:eastAsia="宋体" w:hAnsi="宋体" w:hint="eastAsia"/>
          <w:szCs w:val="21"/>
          <w:u w:val="single"/>
        </w:rPr>
        <w:t>。</w:t>
      </w:r>
    </w:p>
    <w:p>
      <w:pPr>
        <w:pStyle w:val="style0"/>
        <w:spacing w:lineRule="auto" w:line="360"/>
        <w:rPr>
          <w:rFonts w:ascii="宋体" w:eastAsia="宋体" w:hAnsi="宋体"/>
          <w:szCs w:val="21"/>
        </w:rPr>
      </w:pPr>
      <w:r>
        <w:rPr>
          <w:rFonts w:ascii="宋体" w:eastAsia="宋体" w:hAnsi="宋体"/>
          <w:szCs w:val="21"/>
        </w:rPr>
        <w:t>1.2</w:t>
      </w:r>
      <w:r>
        <w:rPr>
          <w:rFonts w:ascii="宋体" w:eastAsia="宋体" w:hAnsi="宋体" w:hint="eastAsia"/>
          <w:szCs w:val="21"/>
        </w:rPr>
        <w:t xml:space="preserve"> 本工程通过邀请招标方式择优选定</w:t>
      </w:r>
      <w:r>
        <w:rPr>
          <w:rFonts w:ascii="宋体" w:eastAsia="宋体" w:hAnsi="宋体" w:hint="eastAsia"/>
          <w:szCs w:val="21"/>
          <w:u w:val="single"/>
        </w:rPr>
        <w:t xml:space="preserve"> 壹 </w:t>
      </w:r>
      <w:r>
        <w:rPr>
          <w:rFonts w:ascii="宋体" w:eastAsia="宋体" w:hAnsi="宋体" w:hint="eastAsia"/>
          <w:szCs w:val="21"/>
        </w:rPr>
        <w:t>家消杀队伍。</w:t>
      </w:r>
    </w:p>
    <w:bookmarkStart w:id="4" w:name="_Toc509241969"/>
    <w:p>
      <w:pPr>
        <w:pStyle w:val="style2"/>
        <w:rPr/>
      </w:pPr>
      <w:r>
        <w:rPr>
          <w:rFonts w:hint="eastAsia"/>
        </w:rPr>
        <w:t>二</w:t>
      </w:r>
      <w:r>
        <w:rPr>
          <w:rFonts w:hint="eastAsia"/>
        </w:rPr>
        <w:t>、招标内容</w:t>
      </w:r>
      <w:bookmarkEnd w:id="4"/>
    </w:p>
    <w:p>
      <w:pPr>
        <w:pStyle w:val="style0"/>
        <w:spacing w:lineRule="auto" w:line="360"/>
        <w:rPr>
          <w:rFonts w:ascii="宋体" w:eastAsia="宋体" w:hAnsi="宋体"/>
          <w:b/>
          <w:bCs/>
          <w:szCs w:val="21"/>
        </w:rPr>
      </w:pPr>
      <w:r>
        <w:rPr>
          <w:rFonts w:ascii="宋体" w:eastAsia="宋体" w:hAnsi="宋体" w:hint="eastAsia"/>
          <w:szCs w:val="21"/>
        </w:rPr>
        <w:t>病媒生物</w:t>
      </w:r>
      <w:r>
        <w:rPr>
          <w:rFonts w:ascii="宋体" w:eastAsia="宋体" w:hAnsi="宋体" w:hint="eastAsia"/>
          <w:szCs w:val="21"/>
          <w:u w:val="single"/>
        </w:rPr>
        <w:t>防制服务</w:t>
      </w:r>
      <w:r>
        <w:rPr>
          <w:rFonts w:ascii="宋体" w:eastAsia="宋体" w:hAnsi="宋体" w:hint="eastAsia"/>
          <w:szCs w:val="21"/>
        </w:rPr>
        <w:t>。</w:t>
      </w:r>
    </w:p>
    <w:bookmarkStart w:id="5" w:name="_Toc509241970"/>
    <w:p>
      <w:pPr>
        <w:pStyle w:val="style2"/>
        <w:rPr/>
      </w:pPr>
      <w:r>
        <w:rPr>
          <w:rFonts w:hint="eastAsia"/>
        </w:rPr>
        <w:t>三</w:t>
      </w:r>
      <w:r>
        <w:rPr>
          <w:rFonts w:hint="eastAsia"/>
        </w:rPr>
        <w:t>、计划工期</w:t>
      </w:r>
      <w:bookmarkEnd w:id="5"/>
    </w:p>
    <w:p>
      <w:pPr>
        <w:pStyle w:val="style0"/>
        <w:spacing w:lineRule="auto" w:line="360"/>
        <w:ind w:left="-1" w:leftChars="-1" w:hanging="1"/>
        <w:rPr>
          <w:rFonts w:ascii="宋体" w:eastAsia="宋体" w:hAnsi="宋体"/>
          <w:szCs w:val="21"/>
        </w:rPr>
      </w:pPr>
      <w:r>
        <w:rPr>
          <w:rFonts w:ascii="宋体" w:eastAsia="宋体" w:hAnsi="宋体" w:hint="eastAsia"/>
          <w:szCs w:val="21"/>
        </w:rPr>
        <w:t>详见第三章采购需求。</w:t>
      </w:r>
    </w:p>
    <w:bookmarkStart w:id="6" w:name="_Toc509241971"/>
    <w:p>
      <w:pPr>
        <w:pStyle w:val="style2"/>
        <w:rPr>
          <w:bCs/>
        </w:rPr>
      </w:pPr>
      <w:r>
        <w:rPr>
          <w:rFonts w:hint="eastAsia"/>
          <w:bCs/>
        </w:rPr>
        <w:t>四</w:t>
      </w:r>
      <w:r>
        <w:rPr>
          <w:rFonts w:hint="eastAsia"/>
          <w:bCs/>
        </w:rPr>
        <w:t>、图纸及技术资料</w:t>
      </w:r>
      <w:bookmarkEnd w:id="6"/>
    </w:p>
    <w:p>
      <w:pPr>
        <w:pStyle w:val="style0"/>
        <w:rPr/>
      </w:pPr>
      <w:r>
        <w:rPr>
          <w:rFonts w:hint="eastAsia"/>
        </w:rPr>
        <w:t>详见第三章采购需求。</w:t>
      </w:r>
    </w:p>
    <w:bookmarkStart w:id="7" w:name="_Toc509241972"/>
    <w:p>
      <w:pPr>
        <w:pStyle w:val="style2"/>
        <w:rPr/>
      </w:pPr>
      <w:r>
        <w:rPr>
          <w:rFonts w:hint="eastAsia"/>
        </w:rPr>
        <w:t>五、</w:t>
      </w:r>
      <w:r>
        <w:rPr>
          <w:rFonts w:hint="eastAsia"/>
        </w:rPr>
        <w:t>合同主要条款：</w:t>
      </w:r>
      <w:bookmarkEnd w:id="7"/>
    </w:p>
    <w:p>
      <w:pPr>
        <w:pStyle w:val="style0"/>
        <w:spacing w:lineRule="auto" w:line="360"/>
        <w:ind w:right="11"/>
        <w:rPr>
          <w:rFonts w:ascii="宋体" w:eastAsia="宋体" w:hAnsi="宋体"/>
          <w:szCs w:val="21"/>
          <w:u w:val="single"/>
        </w:rPr>
      </w:pPr>
      <w:r>
        <w:rPr>
          <w:rFonts w:ascii="宋体" w:eastAsia="宋体" w:hAnsi="宋体"/>
          <w:szCs w:val="21"/>
        </w:rPr>
        <w:t>5.1</w:t>
      </w:r>
      <w:r>
        <w:rPr>
          <w:rFonts w:ascii="宋体" w:eastAsia="宋体" w:hAnsi="宋体" w:hint="eastAsia"/>
          <w:szCs w:val="21"/>
        </w:rPr>
        <w:t xml:space="preserve">  承包方式：固定总价总包</w:t>
      </w:r>
    </w:p>
    <w:p>
      <w:pPr>
        <w:pStyle w:val="style0"/>
        <w:spacing w:lineRule="auto" w:line="360"/>
        <w:ind w:right="11"/>
        <w:rPr>
          <w:rFonts w:ascii="宋体" w:eastAsia="宋体" w:hAnsi="宋体"/>
          <w:szCs w:val="21"/>
        </w:rPr>
      </w:pPr>
      <w:r>
        <w:rPr>
          <w:rFonts w:ascii="宋体" w:eastAsia="宋体" w:hAnsi="宋体"/>
          <w:szCs w:val="21"/>
        </w:rPr>
        <w:t>5.</w:t>
      </w:r>
      <w:r>
        <w:rPr>
          <w:rFonts w:ascii="宋体" w:eastAsia="宋体" w:hAnsi="宋体" w:hint="eastAsia"/>
          <w:szCs w:val="21"/>
        </w:rPr>
        <w:t>2  工程款支付方式：服务完成,验收合格后的每6个月支付一次，</w:t>
      </w:r>
      <w:r>
        <w:rPr>
          <w:rFonts w:ascii="宋体" w:cs="Arial Unicode MS" w:eastAsia="宋体" w:hAnsi="宋体" w:hint="eastAsia"/>
          <w:szCs w:val="21"/>
        </w:rPr>
        <w:t>每项付款须经甲方审核和认可乙方所履行的服务,接受并签字确认后，甲方收到乙方提交的正式发票在次月支付。</w:t>
      </w:r>
    </w:p>
    <w:p>
      <w:pPr>
        <w:pStyle w:val="style0"/>
        <w:spacing w:lineRule="auto" w:line="360"/>
        <w:rPr>
          <w:rFonts w:ascii="宋体" w:eastAsia="宋体" w:hAnsi="宋体"/>
          <w:szCs w:val="21"/>
        </w:rPr>
      </w:pPr>
      <w:r>
        <w:rPr>
          <w:rFonts w:ascii="宋体" w:eastAsia="宋体" w:hAnsi="宋体"/>
          <w:szCs w:val="21"/>
        </w:rPr>
        <w:t>5.</w:t>
      </w:r>
      <w:r>
        <w:rPr>
          <w:rFonts w:ascii="宋体" w:eastAsia="宋体" w:hAnsi="宋体" w:hint="eastAsia"/>
          <w:szCs w:val="21"/>
        </w:rPr>
        <w:t>3  由于施工单位原因造成工期延误的计罚方法：每延误一天按合同价的</w:t>
      </w:r>
      <w:r>
        <w:rPr>
          <w:rFonts w:ascii="宋体" w:eastAsia="宋体" w:hAnsi="宋体" w:hint="eastAsia"/>
          <w:color w:val="000080"/>
          <w:szCs w:val="21"/>
        </w:rPr>
        <w:t>3‰</w:t>
      </w:r>
      <w:r>
        <w:rPr>
          <w:rFonts w:ascii="宋体" w:eastAsia="宋体" w:hAnsi="宋体" w:hint="eastAsia"/>
          <w:szCs w:val="21"/>
        </w:rPr>
        <w:t>从工程款中计罚。</w:t>
      </w:r>
    </w:p>
    <w:p>
      <w:pPr>
        <w:pStyle w:val="style0"/>
        <w:spacing w:lineRule="auto" w:line="360"/>
        <w:rPr>
          <w:rFonts w:ascii="宋体" w:eastAsia="宋体" w:hAnsi="宋体"/>
          <w:szCs w:val="21"/>
        </w:rPr>
      </w:pPr>
      <w:r>
        <w:rPr>
          <w:rFonts w:ascii="宋体" w:eastAsia="宋体" w:hAnsi="宋体" w:hint="eastAsia"/>
          <w:szCs w:val="21"/>
        </w:rPr>
        <w:t>5.4  由于自然不可抗力或建设单位原因造成工期延误的处理办法：允许工期顺延，不追究其他任何责任。</w:t>
      </w:r>
    </w:p>
    <w:p>
      <w:pPr>
        <w:pStyle w:val="style0"/>
        <w:spacing w:lineRule="auto" w:line="360"/>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5</w:t>
      </w:r>
      <w:r>
        <w:rPr>
          <w:rFonts w:ascii="宋体" w:eastAsia="宋体" w:hAnsi="宋体"/>
          <w:szCs w:val="21"/>
        </w:rPr>
        <w:t xml:space="preserve">  </w:t>
      </w:r>
      <w:r>
        <w:rPr>
          <w:rFonts w:ascii="宋体" w:eastAsia="宋体" w:hAnsi="宋体" w:hint="eastAsia"/>
          <w:szCs w:val="21"/>
        </w:rPr>
        <w:t>工程质保期：工程质保期详见工程技术要求。质保期内如因工程质量问题出现损坏，施工单位除负责免费返修外，还应承担由此造成建设单位的一切经济损失。</w:t>
      </w:r>
    </w:p>
    <w:bookmarkStart w:id="8" w:name="_Toc509241973"/>
    <w:p>
      <w:pPr>
        <w:pStyle w:val="style2"/>
        <w:rPr/>
      </w:pPr>
      <w:r>
        <w:rPr>
          <w:rFonts w:hint="eastAsia"/>
        </w:rPr>
        <w:t>六、</w:t>
      </w:r>
      <w:r>
        <w:rPr>
          <w:rFonts w:hint="eastAsia"/>
        </w:rPr>
        <w:t>对投标文件的要求</w:t>
      </w:r>
      <w:bookmarkEnd w:id="8"/>
    </w:p>
    <w:p>
      <w:pPr>
        <w:pStyle w:val="style0"/>
        <w:spacing w:lineRule="auto" w:line="360"/>
        <w:rPr>
          <w:rFonts w:ascii="宋体" w:eastAsia="宋体" w:hAnsi="宋体"/>
          <w:szCs w:val="21"/>
        </w:rPr>
      </w:pPr>
      <w:r>
        <w:rPr>
          <w:rFonts w:ascii="宋体" w:eastAsia="宋体" w:hAnsi="宋体"/>
          <w:szCs w:val="21"/>
        </w:rPr>
        <w:t>6.1</w:t>
      </w:r>
      <w:r>
        <w:rPr>
          <w:rFonts w:ascii="宋体" w:eastAsia="宋体" w:hAnsi="宋体" w:hint="eastAsia"/>
          <w:szCs w:val="21"/>
        </w:rPr>
        <w:t xml:space="preserve">  投标依据：投标单位应以招标单位的招标文件、图纸及工程技术要求等有关资料作为投标依据。在收到招标文件等有关资料后，进行认真研究，若有疑问或不清楚的问题需解释，应在投标截至前一日向招标单位提出，招标单位确认问题属实后以书面形式予以解答，解答的所有内容同时发送各投标单位，一并作为投标依据。</w:t>
      </w:r>
    </w:p>
    <w:p>
      <w:pPr>
        <w:pStyle w:val="style0"/>
        <w:spacing w:lineRule="auto" w:line="360"/>
        <w:rPr>
          <w:rFonts w:ascii="宋体" w:eastAsia="宋体" w:hAnsi="宋体"/>
          <w:szCs w:val="21"/>
        </w:rPr>
      </w:pPr>
      <w:r>
        <w:rPr>
          <w:rFonts w:ascii="宋体" w:eastAsia="宋体" w:hAnsi="宋体"/>
          <w:szCs w:val="21"/>
        </w:rPr>
        <w:t>6.2</w:t>
      </w:r>
      <w:r>
        <w:rPr>
          <w:rFonts w:ascii="宋体" w:eastAsia="宋体" w:hAnsi="宋体" w:hint="eastAsia"/>
          <w:szCs w:val="21"/>
        </w:rPr>
        <w:t xml:space="preserve">  投标文件的填写：投标文件应用不能擦去的墨水笔书写或电脑打印，并由投标单位的法人或法人委托人签署（法人委托书应以书面形式出具，并附在投标文件中），投标文件中有增减或修改的事项及内容，都应由投标单位法人或法人委托人签章证明；组成投标文件的各项材料都必须加盖投标单位公章后方有效（包括复印件）。</w:t>
      </w:r>
    </w:p>
    <w:p>
      <w:pPr>
        <w:pStyle w:val="style0"/>
        <w:spacing w:lineRule="auto" w:line="360"/>
        <w:rPr>
          <w:rFonts w:ascii="宋体" w:eastAsia="宋体" w:hAnsi="宋体"/>
          <w:szCs w:val="21"/>
        </w:rPr>
      </w:pPr>
      <w:r>
        <w:rPr>
          <w:rFonts w:ascii="宋体" w:eastAsia="宋体" w:hAnsi="宋体"/>
          <w:szCs w:val="21"/>
        </w:rPr>
        <w:t>6.</w:t>
      </w:r>
      <w:r>
        <w:rPr>
          <w:rFonts w:ascii="宋体" w:eastAsia="宋体" w:hAnsi="宋体" w:hint="eastAsia"/>
          <w:szCs w:val="21"/>
        </w:rPr>
        <w:t>3</w:t>
      </w:r>
      <w:r>
        <w:rPr>
          <w:rFonts w:ascii="宋体" w:eastAsia="宋体" w:hAnsi="宋体"/>
          <w:szCs w:val="21"/>
        </w:rPr>
        <w:t xml:space="preserve"> </w:t>
      </w:r>
      <w:r>
        <w:rPr>
          <w:rFonts w:ascii="宋体" w:eastAsia="宋体" w:hAnsi="宋体" w:hint="eastAsia"/>
          <w:szCs w:val="21"/>
        </w:rPr>
        <w:t>投标文件应包含以下内容：</w:t>
      </w:r>
    </w:p>
    <w:p>
      <w:pPr>
        <w:pStyle w:val="style0"/>
        <w:spacing w:lineRule="auto" w:line="360"/>
        <w:rPr>
          <w:rFonts w:ascii="宋体" w:eastAsia="宋体" w:hAnsi="宋体"/>
          <w:szCs w:val="21"/>
        </w:rPr>
      </w:pPr>
      <w:r>
        <w:rPr>
          <w:rFonts w:ascii="宋体" w:eastAsia="宋体" w:hAnsi="宋体" w:hint="eastAsia"/>
          <w:szCs w:val="21"/>
        </w:rPr>
        <w:t>一、商务部分</w:t>
      </w:r>
    </w:p>
    <w:p>
      <w:pPr>
        <w:pStyle w:val="style0"/>
        <w:spacing w:lineRule="exact" w:line="420"/>
        <w:rPr>
          <w:rFonts w:ascii="宋体" w:hAnsi="宋体"/>
          <w:szCs w:val="21"/>
        </w:rPr>
      </w:pPr>
      <w:r>
        <w:rPr>
          <w:rFonts w:ascii="宋体" w:hAnsi="宋体" w:hint="eastAsia"/>
          <w:szCs w:val="21"/>
        </w:rPr>
        <w:t>2）报价表（</w:t>
      </w:r>
      <w:r>
        <w:rPr>
          <w:rFonts w:ascii="宋体" w:eastAsia="宋体" w:hAnsi="宋体" w:hint="eastAsia"/>
          <w:szCs w:val="21"/>
        </w:rPr>
        <w:t>根据</w:t>
      </w:r>
      <w:r>
        <w:rPr>
          <w:rFonts w:ascii="宋体" w:eastAsia="宋体" w:hAnsi="宋体" w:hint="eastAsia"/>
          <w:szCs w:val="21"/>
        </w:rPr>
        <w:t>采购</w:t>
      </w:r>
      <w:r>
        <w:rPr>
          <w:rFonts w:ascii="宋体" w:eastAsia="宋体" w:hAnsi="宋体" w:hint="eastAsia"/>
          <w:szCs w:val="21"/>
        </w:rPr>
        <w:t>要求提供详细的报价</w:t>
      </w:r>
      <w:r>
        <w:rPr>
          <w:rFonts w:ascii="宋体" w:eastAsia="宋体" w:hAnsi="宋体" w:hint="eastAsia"/>
          <w:szCs w:val="21"/>
        </w:rPr>
        <w:t>）</w:t>
      </w:r>
    </w:p>
    <w:p>
      <w:pPr>
        <w:pStyle w:val="style0"/>
        <w:spacing w:lineRule="exact" w:line="420"/>
        <w:rPr>
          <w:rFonts w:ascii="宋体" w:hAnsi="宋体"/>
          <w:szCs w:val="21"/>
        </w:rPr>
      </w:pPr>
      <w:r>
        <w:rPr>
          <w:rFonts w:ascii="宋体" w:hAnsi="宋体" w:hint="eastAsia"/>
          <w:szCs w:val="21"/>
        </w:rPr>
        <w:t>3）资格证明文件；</w:t>
      </w:r>
    </w:p>
    <w:p>
      <w:pPr>
        <w:pStyle w:val="style0"/>
        <w:spacing w:lineRule="exact" w:line="420"/>
        <w:ind w:firstLine="105" w:firstLineChars="50"/>
        <w:rPr>
          <w:rFonts w:ascii="宋体" w:hAnsi="宋体"/>
          <w:szCs w:val="21"/>
        </w:rPr>
      </w:pPr>
      <w:r>
        <w:rPr>
          <w:rFonts w:ascii="宋体" w:hAnsi="宋体" w:hint="eastAsia"/>
          <w:szCs w:val="21"/>
        </w:rPr>
        <w:t>（1）营业执照副本复印件、组织机构代码证副本复印件（可三证合一）；（</w:t>
      </w:r>
      <w:r>
        <w:rPr>
          <w:rFonts w:ascii="宋体" w:hAnsi="宋体" w:hint="eastAsia"/>
          <w:b/>
          <w:szCs w:val="21"/>
        </w:rPr>
        <w:t>必须提供，加盖供应商公章</w:t>
      </w:r>
      <w:r>
        <w:rPr>
          <w:rFonts w:ascii="宋体" w:hAnsi="宋体" w:hint="eastAsia"/>
          <w:szCs w:val="21"/>
        </w:rPr>
        <w:t>）；</w:t>
      </w:r>
    </w:p>
    <w:p>
      <w:pPr>
        <w:pStyle w:val="style0"/>
        <w:spacing w:lineRule="exact" w:line="420"/>
        <w:ind w:firstLine="105" w:firstLineChars="50"/>
        <w:rPr>
          <w:rFonts w:ascii="宋体" w:hAnsi="宋体"/>
          <w:szCs w:val="21"/>
        </w:rPr>
      </w:pPr>
      <w:r>
        <w:rPr>
          <w:rFonts w:ascii="宋体" w:hAnsi="宋体" w:hint="eastAsia"/>
          <w:szCs w:val="21"/>
        </w:rPr>
        <w:t>（2）法定代表人授权书及委托代理人身份证正反面复印件；（</w:t>
      </w:r>
      <w:r>
        <w:rPr>
          <w:rFonts w:ascii="宋体" w:hAnsi="宋体" w:hint="eastAsia"/>
          <w:b/>
          <w:szCs w:val="21"/>
        </w:rPr>
        <w:t>必须提供，加盖供应商公章</w:t>
      </w:r>
      <w:r>
        <w:rPr>
          <w:rFonts w:ascii="宋体" w:hAnsi="宋体" w:hint="eastAsia"/>
          <w:szCs w:val="21"/>
        </w:rPr>
        <w:t>）；</w:t>
      </w:r>
    </w:p>
    <w:p>
      <w:pPr>
        <w:pStyle w:val="style0"/>
        <w:spacing w:lineRule="exact" w:line="420"/>
        <w:ind w:firstLine="105" w:firstLineChars="50"/>
        <w:rPr>
          <w:rFonts w:ascii="宋体" w:hAnsi="宋体"/>
          <w:szCs w:val="21"/>
        </w:rPr>
      </w:pPr>
      <w:r>
        <w:rPr>
          <w:rFonts w:ascii="宋体" w:hAnsi="宋体" w:hint="eastAsia"/>
          <w:szCs w:val="21"/>
        </w:rPr>
        <w:t>（3）本次投标所用货物由国家有关部门颁发的“三证”（农药登记证、农药生产批准证书、技术监督部门备案的企业标准）（</w:t>
      </w:r>
      <w:r>
        <w:rPr>
          <w:rFonts w:ascii="宋体" w:hAnsi="宋体" w:hint="eastAsia"/>
          <w:b/>
          <w:szCs w:val="21"/>
        </w:rPr>
        <w:t>必须提供，加盖供应商公章</w:t>
      </w:r>
      <w:r>
        <w:rPr>
          <w:rFonts w:ascii="宋体" w:hAnsi="宋体" w:hint="eastAsia"/>
          <w:szCs w:val="21"/>
        </w:rPr>
        <w:t>）；</w:t>
      </w:r>
    </w:p>
    <w:p>
      <w:pPr>
        <w:pStyle w:val="style0"/>
        <w:spacing w:lineRule="auto" w:line="360"/>
        <w:rPr>
          <w:rFonts w:ascii="宋体" w:cs="宋体" w:hAnsi="宋体"/>
          <w:kern w:val="0"/>
        </w:rPr>
      </w:pPr>
      <w:r>
        <w:rPr>
          <w:rFonts w:ascii="宋体" w:cs="宋体" w:hAnsi="宋体" w:hint="eastAsia"/>
          <w:kern w:val="0"/>
        </w:rPr>
        <w:t>（4）竞标人2018年1至今依法缴纳税收，如为新成立的竞标单位请按实际依法缴纳税收月份提供[税费凭证复印件，或者依法缴纳税费或依法免缴税费的证明复印件</w:t>
      </w:r>
      <w:r>
        <w:rPr>
          <w:rFonts w:ascii="宋体" w:cs="宋体" w:hAnsi="宋体" w:hint="eastAsia"/>
          <w:b/>
          <w:bCs/>
          <w:kern w:val="0"/>
        </w:rPr>
        <w:t>（如有请提供，加盖公章）</w:t>
      </w:r>
      <w:r>
        <w:rPr>
          <w:rFonts w:ascii="宋体" w:cs="宋体" w:hAnsi="宋体" w:hint="eastAsia"/>
          <w:kern w:val="0"/>
        </w:rPr>
        <w:t>；</w:t>
      </w:r>
    </w:p>
    <w:p>
      <w:pPr>
        <w:pStyle w:val="style0"/>
        <w:spacing w:lineRule="auto" w:line="360"/>
        <w:rPr>
          <w:rFonts w:ascii="宋体" w:cs="宋体" w:hAnsi="宋体"/>
          <w:kern w:val="0"/>
        </w:rPr>
      </w:pPr>
      <w:r>
        <w:rPr>
          <w:rFonts w:ascii="宋体" w:cs="宋体" w:hAnsi="宋体" w:hint="eastAsia"/>
          <w:kern w:val="0"/>
        </w:rPr>
        <w:t>（5）竞标人2018年1月至今的社保缴纳证明材料复印件，如为新成立的竞标单位请按实际依法缴纳社保月份提供，社保证明须经社保部门盖章确认</w:t>
      </w:r>
      <w:r>
        <w:rPr>
          <w:rFonts w:ascii="宋体" w:cs="宋体" w:hAnsi="宋体" w:hint="eastAsia"/>
          <w:b/>
          <w:bCs/>
          <w:kern w:val="0"/>
        </w:rPr>
        <w:t>（如有请提供，加盖公章）</w:t>
      </w:r>
      <w:r>
        <w:rPr>
          <w:rFonts w:ascii="宋体" w:cs="宋体" w:hAnsi="宋体" w:hint="eastAsia"/>
          <w:kern w:val="0"/>
        </w:rPr>
        <w:t>；</w:t>
      </w:r>
    </w:p>
    <w:p>
      <w:pPr>
        <w:pStyle w:val="style0"/>
        <w:spacing w:lineRule="auto" w:line="360"/>
        <w:ind w:firstLine="105" w:firstLineChars="50"/>
        <w:rPr>
          <w:rFonts w:ascii="宋体" w:hAnsi="宋体"/>
          <w:szCs w:val="21"/>
        </w:rPr>
      </w:pPr>
      <w:r>
        <w:rPr>
          <w:rFonts w:ascii="宋体" w:eastAsia="宋体" w:hAnsi="宋体" w:hint="eastAsia"/>
          <w:szCs w:val="21"/>
        </w:rPr>
        <w:t>二、技术部分</w:t>
      </w:r>
    </w:p>
    <w:p>
      <w:pPr>
        <w:pStyle w:val="style0"/>
        <w:spacing w:lineRule="auto" w:line="360"/>
        <w:rPr>
          <w:rFonts w:ascii="宋体" w:eastAsia="宋体" w:hAnsi="宋体"/>
          <w:szCs w:val="21"/>
        </w:rPr>
      </w:pPr>
      <w:r>
        <w:rPr>
          <w:rFonts w:ascii="宋体" w:eastAsia="宋体" w:hAnsi="宋体" w:hint="eastAsia"/>
          <w:szCs w:val="21"/>
        </w:rPr>
        <w:t>（1）</w:t>
      </w:r>
      <w:r>
        <w:rPr>
          <w:rFonts w:ascii="宋体" w:hAnsi="宋体" w:hint="eastAsia"/>
          <w:szCs w:val="21"/>
        </w:rPr>
        <w:t>切实可行</w:t>
      </w:r>
      <w:r>
        <w:rPr>
          <w:rFonts w:ascii="宋体" w:eastAsia="宋体" w:hAnsi="宋体" w:hint="eastAsia"/>
          <w:szCs w:val="21"/>
        </w:rPr>
        <w:t>施工方案及施工组织设计</w:t>
      </w:r>
      <w:r>
        <w:rPr>
          <w:rFonts w:ascii="宋体" w:hAnsi="宋体" w:hint="eastAsia"/>
          <w:szCs w:val="21"/>
        </w:rPr>
        <w:t>（必须提供）；</w:t>
      </w:r>
    </w:p>
    <w:p>
      <w:pPr>
        <w:pStyle w:val="style0"/>
        <w:spacing w:lineRule="auto" w:line="360"/>
        <w:rPr>
          <w:rFonts w:ascii="宋体" w:hAnsi="宋体"/>
          <w:szCs w:val="21"/>
        </w:rPr>
      </w:pPr>
      <w:r>
        <w:rPr>
          <w:rFonts w:ascii="宋体" w:hAnsi="宋体" w:hint="eastAsia"/>
          <w:szCs w:val="21"/>
        </w:rPr>
        <w:t>（2）服务承诺书；（格式自拟，必须提供，加盖公章）</w:t>
      </w:r>
    </w:p>
    <w:p>
      <w:pPr>
        <w:pStyle w:val="style0"/>
        <w:spacing w:lineRule="auto" w:line="360"/>
        <w:rPr>
          <w:rFonts w:ascii="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）技术附件中要求提供的其他材料</w:t>
      </w:r>
    </w:p>
    <w:p>
      <w:pPr>
        <w:pStyle w:val="style0"/>
        <w:spacing w:lineRule="auto" w:line="360"/>
        <w:rPr>
          <w:rFonts w:ascii="宋体" w:hAnsi="宋体"/>
          <w:szCs w:val="21"/>
        </w:rPr>
      </w:pPr>
      <w:r>
        <w:rPr>
          <w:rFonts w:ascii="宋体" w:hAnsi="宋体" w:hint="eastAsia"/>
          <w:szCs w:val="21"/>
        </w:rPr>
        <w:t>（4）投标供应商认为有必要提供的其它文件及资料。</w:t>
      </w:r>
    </w:p>
    <w:p>
      <w:pPr>
        <w:pStyle w:val="style0"/>
        <w:spacing w:lineRule="auto" w:line="360"/>
        <w:ind w:firstLine="105" w:firstLineChars="50"/>
        <w:rPr>
          <w:rFonts w:ascii="宋体" w:cs="宋体" w:hAnsi="宋体"/>
          <w:kern w:val="0"/>
        </w:rPr>
      </w:pPr>
      <w:r>
        <w:rPr>
          <w:rFonts w:ascii="宋体" w:hAnsi="宋体" w:hint="eastAsia"/>
          <w:szCs w:val="21"/>
        </w:rPr>
        <w:t>（5）</w:t>
      </w:r>
      <w:r>
        <w:rPr>
          <w:rFonts w:ascii="宋体" w:cs="宋体" w:hAnsi="宋体" w:hint="eastAsia"/>
          <w:kern w:val="0"/>
        </w:rPr>
        <w:t>竞标人同类服务项目的合同复印件</w:t>
      </w:r>
      <w:r>
        <w:rPr>
          <w:rFonts w:ascii="宋体" w:cs="宋体" w:hAnsi="宋体" w:hint="eastAsia"/>
          <w:b/>
          <w:bCs/>
          <w:kern w:val="0"/>
        </w:rPr>
        <w:t>（如有请提供，加盖公章）</w:t>
      </w:r>
      <w:r>
        <w:rPr>
          <w:rFonts w:ascii="宋体" w:cs="宋体" w:hAnsi="宋体" w:hint="eastAsia"/>
          <w:kern w:val="0"/>
        </w:rPr>
        <w:t>；</w:t>
      </w:r>
    </w:p>
    <w:p>
      <w:pPr>
        <w:pStyle w:val="style0"/>
        <w:spacing w:lineRule="auto" w:line="360"/>
        <w:ind w:firstLine="105" w:firstLineChars="50"/>
        <w:rPr>
          <w:rFonts w:ascii="宋体" w:hAnsi="宋体"/>
          <w:szCs w:val="21"/>
        </w:rPr>
      </w:pPr>
      <w:r>
        <w:rPr>
          <w:rFonts w:ascii="宋体" w:cs="宋体" w:hAnsi="宋体" w:hint="eastAsia"/>
          <w:kern w:val="0"/>
        </w:rPr>
        <w:t>（6）竞标人拟投入本项目人员的从业人员资格证书复印件不少于6人</w:t>
      </w:r>
      <w:r>
        <w:rPr>
          <w:rFonts w:ascii="宋体" w:hAnsi="宋体" w:hint="eastAsia"/>
          <w:szCs w:val="21"/>
        </w:rPr>
        <w:t>（</w:t>
      </w:r>
      <w:r>
        <w:rPr>
          <w:rFonts w:ascii="宋体" w:hAnsi="宋体" w:hint="eastAsia"/>
          <w:b/>
          <w:szCs w:val="21"/>
        </w:rPr>
        <w:t>必须提供，加盖供应商公</w:t>
      </w:r>
      <w:r>
        <w:rPr>
          <w:rFonts w:ascii="宋体" w:hAnsi="宋体" w:hint="eastAsia"/>
          <w:b/>
          <w:szCs w:val="21"/>
        </w:rPr>
        <w:t>章</w:t>
      </w:r>
      <w:r>
        <w:rPr>
          <w:rFonts w:ascii="宋体" w:hAnsi="宋体" w:hint="eastAsia"/>
          <w:szCs w:val="21"/>
        </w:rPr>
        <w:t>）；</w:t>
      </w:r>
    </w:p>
    <w:p>
      <w:pPr>
        <w:pStyle w:val="style0"/>
        <w:spacing w:lineRule="auto" w:line="360"/>
        <w:ind w:firstLine="105" w:firstLineChars="50"/>
        <w:rPr>
          <w:rFonts w:ascii="宋体" w:hAnsi="宋体"/>
          <w:szCs w:val="21"/>
        </w:rPr>
      </w:pPr>
      <w:r>
        <w:rPr>
          <w:rFonts w:ascii="宋体" w:hAnsi="宋体" w:hint="eastAsia"/>
          <w:szCs w:val="21"/>
        </w:rPr>
        <w:t>（7）</w:t>
      </w:r>
      <w:r>
        <w:rPr>
          <w:rFonts w:ascii="宋体" w:cs="宋体" w:hAnsi="宋体" w:hint="eastAsia"/>
          <w:kern w:val="0"/>
        </w:rPr>
        <w:t>竞标人拟投入本项目器械的证明材料</w:t>
      </w:r>
      <w:r>
        <w:rPr>
          <w:rFonts w:ascii="宋体" w:hAnsi="宋体" w:hint="eastAsia"/>
          <w:szCs w:val="21"/>
        </w:rPr>
        <w:t>（</w:t>
      </w:r>
      <w:r>
        <w:rPr>
          <w:rFonts w:ascii="宋体" w:hAnsi="宋体" w:hint="eastAsia"/>
          <w:b/>
          <w:szCs w:val="21"/>
        </w:rPr>
        <w:t>必须提供，加盖供应商公章</w:t>
      </w:r>
      <w:r>
        <w:rPr>
          <w:rFonts w:ascii="宋体" w:hAnsi="宋体" w:hint="eastAsia"/>
          <w:szCs w:val="21"/>
        </w:rPr>
        <w:t>）；</w:t>
      </w:r>
    </w:p>
    <w:p>
      <w:pPr>
        <w:pStyle w:val="style0"/>
        <w:spacing w:lineRule="auto" w:line="360"/>
        <w:rPr>
          <w:rFonts w:ascii="宋体" w:eastAsia="宋体" w:hAnsi="宋体"/>
          <w:szCs w:val="21"/>
        </w:rPr>
      </w:pPr>
      <w:r>
        <w:rPr>
          <w:rFonts w:ascii="宋体" w:eastAsia="宋体" w:hAnsi="宋体" w:hint="eastAsia"/>
          <w:szCs w:val="21"/>
        </w:rPr>
        <w:t>三、投标文件</w:t>
      </w:r>
      <w:r>
        <w:rPr>
          <w:rFonts w:ascii="宋体" w:eastAsia="宋体" w:hAnsi="宋体" w:hint="eastAsia"/>
          <w:szCs w:val="21"/>
        </w:rPr>
        <w:t>封面（封面应标明如下字样及内容）</w:t>
      </w:r>
    </w:p>
    <w:p>
      <w:pPr>
        <w:pStyle w:val="style0"/>
        <w:spacing w:lineRule="auto" w:line="360"/>
        <w:ind w:firstLine="425"/>
        <w:rPr>
          <w:rFonts w:ascii="宋体" w:eastAsia="宋体" w:hAnsi="宋体"/>
          <w:szCs w:val="21"/>
        </w:rPr>
      </w:pPr>
      <w:r>
        <w:rPr>
          <w:rFonts w:ascii="宋体" w:eastAsia="宋体" w:hAnsi="宋体"/>
          <w:szCs w:val="21"/>
        </w:rPr>
        <w:t>a</w:t>
      </w:r>
      <w:r>
        <w:rPr>
          <w:rFonts w:ascii="宋体" w:eastAsia="宋体" w:hAnsi="宋体" w:hint="eastAsia"/>
          <w:szCs w:val="21"/>
        </w:rPr>
        <w:t>、×××</w:t>
      </w:r>
      <w:r>
        <w:rPr>
          <w:rFonts w:ascii="宋体" w:eastAsia="宋体" w:hAnsi="宋体" w:hint="eastAsia"/>
          <w:szCs w:val="21"/>
        </w:rPr>
        <w:t>投标文件</w:t>
      </w:r>
    </w:p>
    <w:p>
      <w:pPr>
        <w:pStyle w:val="style0"/>
        <w:spacing w:lineRule="auto" w:line="360"/>
        <w:ind w:firstLine="425"/>
        <w:rPr>
          <w:rFonts w:ascii="宋体" w:eastAsia="宋体" w:hAnsi="宋体"/>
          <w:szCs w:val="21"/>
        </w:rPr>
      </w:pPr>
      <w:r>
        <w:rPr>
          <w:rFonts w:ascii="宋体" w:eastAsia="宋体" w:hAnsi="宋体"/>
          <w:szCs w:val="21"/>
        </w:rPr>
        <w:t>b</w:t>
      </w:r>
      <w:r>
        <w:rPr>
          <w:rFonts w:ascii="宋体" w:eastAsia="宋体" w:hAnsi="宋体" w:hint="eastAsia"/>
          <w:szCs w:val="21"/>
        </w:rPr>
        <w:t>、投标单位（盖章）：</w:t>
      </w:r>
    </w:p>
    <w:p>
      <w:pPr>
        <w:pStyle w:val="style0"/>
        <w:spacing w:lineRule="auto" w:line="360"/>
        <w:ind w:firstLine="425"/>
        <w:rPr>
          <w:rFonts w:ascii="宋体" w:eastAsia="宋体" w:hAnsi="宋体"/>
          <w:szCs w:val="21"/>
        </w:rPr>
      </w:pPr>
      <w:r>
        <w:rPr>
          <w:rFonts w:ascii="宋体" w:eastAsia="宋体" w:hAnsi="宋体"/>
          <w:szCs w:val="21"/>
        </w:rPr>
        <w:t>c</w:t>
      </w:r>
      <w:r>
        <w:rPr>
          <w:rFonts w:ascii="宋体" w:eastAsia="宋体" w:hAnsi="宋体" w:hint="eastAsia"/>
          <w:szCs w:val="21"/>
        </w:rPr>
        <w:t>、联系人</w:t>
      </w:r>
    </w:p>
    <w:p>
      <w:pPr>
        <w:pStyle w:val="style0"/>
        <w:spacing w:lineRule="auto" w:line="360"/>
        <w:ind w:firstLine="425"/>
        <w:rPr>
          <w:rFonts w:ascii="宋体" w:eastAsia="宋体" w:hAnsi="宋体"/>
          <w:szCs w:val="21"/>
        </w:rPr>
      </w:pPr>
      <w:r>
        <w:rPr>
          <w:rFonts w:ascii="宋体" w:eastAsia="宋体" w:hAnsi="宋体"/>
          <w:szCs w:val="21"/>
        </w:rPr>
        <w:t>d、</w:t>
      </w:r>
      <w:r>
        <w:rPr>
          <w:rFonts w:ascii="宋体" w:eastAsia="宋体" w:hAnsi="宋体" w:hint="eastAsia"/>
          <w:szCs w:val="21"/>
        </w:rPr>
        <w:t xml:space="preserve">联系电话：               </w:t>
      </w:r>
    </w:p>
    <w:p>
      <w:pPr>
        <w:pStyle w:val="style0"/>
        <w:spacing w:lineRule="auto" w:line="360"/>
        <w:ind w:firstLine="425"/>
        <w:rPr>
          <w:rFonts w:ascii="宋体" w:eastAsia="宋体" w:hAnsi="宋体"/>
          <w:szCs w:val="21"/>
        </w:rPr>
      </w:pPr>
      <w:r>
        <w:rPr>
          <w:rFonts w:ascii="宋体" w:eastAsia="宋体" w:hAnsi="宋体"/>
          <w:szCs w:val="21"/>
        </w:rPr>
        <w:t>e</w:t>
      </w:r>
      <w:r>
        <w:rPr>
          <w:rFonts w:ascii="宋体" w:eastAsia="宋体" w:hAnsi="宋体" w:hint="eastAsia"/>
          <w:szCs w:val="21"/>
        </w:rPr>
        <w:t>、投标日期：</w:t>
      </w:r>
    </w:p>
    <w:p>
      <w:pPr>
        <w:pStyle w:val="style0"/>
        <w:spacing w:lineRule="auto" w:line="360"/>
        <w:ind w:firstLine="425"/>
        <w:rPr>
          <w:rFonts w:ascii="宋体" w:eastAsia="宋体" w:hAnsi="宋体"/>
          <w:szCs w:val="21"/>
        </w:rPr>
      </w:pPr>
      <w:r>
        <w:rPr>
          <w:rFonts w:ascii="宋体" w:eastAsia="宋体" w:hAnsi="宋体" w:hint="eastAsia"/>
          <w:szCs w:val="21"/>
        </w:rPr>
        <w:t>f</w:t>
      </w:r>
      <w:r>
        <w:rPr>
          <w:rFonts w:ascii="宋体" w:eastAsia="宋体" w:hAnsi="宋体" w:hint="eastAsia"/>
          <w:szCs w:val="21"/>
        </w:rPr>
        <w:t>、</w:t>
      </w:r>
      <w:r>
        <w:rPr>
          <w:rFonts w:ascii="宋体" w:eastAsia="宋体" w:hAnsi="宋体" w:hint="eastAsia"/>
          <w:szCs w:val="21"/>
        </w:rPr>
        <w:t>开标时才能启封</w:t>
      </w:r>
    </w:p>
    <w:p>
      <w:pPr>
        <w:pStyle w:val="style0"/>
        <w:spacing w:lineRule="auto" w:line="360"/>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4  投标文件</w:t>
      </w:r>
      <w:r>
        <w:rPr>
          <w:rFonts w:ascii="宋体" w:eastAsia="宋体" w:hAnsi="宋体" w:hint="eastAsia"/>
          <w:color w:val="ff0000"/>
          <w:szCs w:val="21"/>
        </w:rPr>
        <w:t>一式三份</w:t>
      </w:r>
      <w:r>
        <w:rPr>
          <w:rFonts w:ascii="宋体" w:eastAsia="宋体" w:hAnsi="宋体" w:hint="eastAsia"/>
          <w:szCs w:val="21"/>
        </w:rPr>
        <w:t>按顺序排列装订成册，并分别装入</w:t>
      </w:r>
      <w:r>
        <w:rPr>
          <w:rFonts w:ascii="宋体" w:eastAsia="宋体" w:hAnsi="宋体" w:hint="eastAsia"/>
          <w:szCs w:val="21"/>
        </w:rPr>
        <w:t>一</w:t>
      </w:r>
      <w:r>
        <w:rPr>
          <w:rFonts w:ascii="宋体" w:eastAsia="宋体" w:hAnsi="宋体" w:hint="eastAsia"/>
          <w:szCs w:val="21"/>
        </w:rPr>
        <w:t>个密封袋，密封处加盖投标单位公章。</w:t>
      </w:r>
    </w:p>
    <w:p>
      <w:pPr>
        <w:pStyle w:val="style0"/>
        <w:spacing w:lineRule="auto" w:line="360"/>
        <w:rPr>
          <w:rFonts w:ascii="宋体" w:eastAsia="宋体" w:hAnsi="宋体"/>
          <w:szCs w:val="21"/>
        </w:rPr>
      </w:pPr>
      <w:r>
        <w:rPr>
          <w:rFonts w:ascii="宋体" w:eastAsia="宋体" w:hAnsi="宋体"/>
          <w:szCs w:val="21"/>
        </w:rPr>
        <w:t>6.5</w:t>
      </w:r>
      <w:r>
        <w:rPr>
          <w:rFonts w:ascii="宋体" w:eastAsia="宋体" w:hAnsi="宋体" w:hint="eastAsia"/>
          <w:szCs w:val="21"/>
        </w:rPr>
        <w:t xml:space="preserve">  所有投标单位的投标文件概不退还。</w:t>
      </w:r>
    </w:p>
    <w:bookmarkStart w:id="9" w:name="_Toc509241974"/>
    <w:p>
      <w:pPr>
        <w:pStyle w:val="style2"/>
        <w:rPr>
          <w:sz w:val="21"/>
        </w:rPr>
      </w:pPr>
      <w:r>
        <w:rPr>
          <w:rFonts w:hint="eastAsia"/>
        </w:rPr>
        <w:t>七、投标</w:t>
      </w:r>
      <w:r>
        <w:rPr>
          <w:rFonts w:hint="eastAsia"/>
        </w:rPr>
        <w:t>报</w:t>
      </w:r>
      <w:r>
        <w:rPr>
          <w:rFonts w:hint="eastAsia"/>
        </w:rPr>
        <w:t>价的制定</w:t>
      </w:r>
      <w:bookmarkEnd w:id="9"/>
    </w:p>
    <w:p>
      <w:pPr>
        <w:pStyle w:val="style0"/>
        <w:spacing w:lineRule="auto" w:line="360"/>
        <w:ind w:right="11" w:firstLine="420" w:firstLineChars="200"/>
        <w:rPr>
          <w:rFonts w:ascii="宋体" w:eastAsia="宋体" w:hAnsi="宋体"/>
          <w:color w:val="ff0000"/>
          <w:szCs w:val="21"/>
        </w:rPr>
      </w:pPr>
      <w:r>
        <w:rPr>
          <w:rFonts w:ascii="宋体" w:eastAsia="宋体" w:hAnsi="宋体" w:hint="eastAsia"/>
          <w:szCs w:val="21"/>
        </w:rPr>
        <w:t>投标单位应按</w:t>
      </w:r>
      <w:r>
        <w:rPr>
          <w:rFonts w:ascii="宋体" w:eastAsia="宋体" w:hAnsi="宋体" w:hint="eastAsia"/>
          <w:szCs w:val="21"/>
        </w:rPr>
        <w:t>采购</w:t>
      </w:r>
      <w:r>
        <w:rPr>
          <w:rFonts w:ascii="宋体" w:eastAsia="宋体" w:hAnsi="宋体" w:hint="eastAsia"/>
          <w:szCs w:val="21"/>
        </w:rPr>
        <w:t>单位所提供的招标文件、施工图纸、技术要求及投标答疑，并根据各种材料市场价格以此确定投标报价，在报价中需列出明细报价，</w:t>
      </w:r>
      <w:r>
        <w:rPr>
          <w:rFonts w:ascii="宋体" w:eastAsia="宋体" w:hAnsi="宋体" w:hint="eastAsia"/>
          <w:color w:val="ff0000"/>
          <w:szCs w:val="21"/>
        </w:rPr>
        <w:t>如果在服务范围期间内</w:t>
      </w:r>
      <w:r>
        <w:rPr>
          <w:rFonts w:ascii="宋体" w:eastAsia="宋体" w:hAnsi="宋体" w:hint="eastAsia"/>
          <w:color w:val="ff0000"/>
          <w:szCs w:val="21"/>
        </w:rPr>
        <w:t>还有其他区域有类似的服务可以参照此单价进行结算。</w:t>
      </w:r>
    </w:p>
    <w:bookmarkStart w:id="10" w:name="_Toc509241975"/>
    <w:p>
      <w:pPr>
        <w:pStyle w:val="style2"/>
        <w:rPr/>
      </w:pPr>
      <w:r>
        <w:rPr>
          <w:rFonts w:hint="eastAsia"/>
          <w:szCs w:val="21"/>
        </w:rPr>
        <w:t>八</w:t>
      </w:r>
      <w:r>
        <w:rPr>
          <w:rFonts w:hint="eastAsia"/>
        </w:rPr>
        <w:t>、推荐中标人</w:t>
      </w:r>
      <w:bookmarkEnd w:id="10"/>
    </w:p>
    <w:p>
      <w:pPr>
        <w:pStyle w:val="style0"/>
        <w:spacing w:lineRule="exact" w:line="440"/>
        <w:ind w:right="565" w:rightChars="269" w:firstLine="420" w:firstLineChars="200"/>
        <w:rPr>
          <w:rFonts w:ascii="宋体" w:eastAsia="宋体" w:hAnsi="宋体"/>
          <w:szCs w:val="21"/>
        </w:rPr>
      </w:pPr>
      <w:r>
        <w:rPr>
          <w:rFonts w:ascii="宋体" w:eastAsia="宋体" w:hAnsi="宋体" w:hint="eastAsia"/>
          <w:szCs w:val="21"/>
        </w:rPr>
        <w:t>参照《</w:t>
      </w:r>
      <w:r>
        <w:rPr>
          <w:rFonts w:ascii="宋体" w:eastAsia="宋体" w:hAnsi="宋体" w:hint="eastAsia"/>
          <w:szCs w:val="21"/>
        </w:rPr>
        <w:t>第四章 评标办法及评审标准</w:t>
      </w:r>
      <w:r>
        <w:rPr>
          <w:rFonts w:ascii="宋体" w:eastAsia="宋体" w:hAnsi="宋体" w:hint="eastAsia"/>
          <w:szCs w:val="21"/>
        </w:rPr>
        <w:t>》对全</w:t>
      </w:r>
      <w:r>
        <w:rPr>
          <w:rFonts w:ascii="宋体" w:eastAsia="宋体" w:hAnsi="宋体" w:hint="eastAsia"/>
          <w:szCs w:val="21"/>
        </w:rPr>
        <w:t>部</w:t>
      </w:r>
      <w:r>
        <w:rPr>
          <w:rFonts w:ascii="宋体" w:eastAsia="宋体" w:hAnsi="宋体" w:hint="eastAsia"/>
          <w:szCs w:val="21"/>
        </w:rPr>
        <w:t>投标人的技术标和商务标进行评分，</w:t>
      </w:r>
      <w:r>
        <w:rPr>
          <w:rFonts w:ascii="宋体" w:hAnsi="宋体" w:hint="eastAsia"/>
          <w:szCs w:val="21"/>
        </w:rPr>
        <w:t>竞争性磋商响应文件在技术和服务均能满足竞争性磋商文件实质性响应要求时磋商小组将根据得分由高到低排列次序并推荐成交候选供应商</w:t>
      </w:r>
      <w:r>
        <w:rPr>
          <w:rFonts w:ascii="宋体" w:eastAsia="宋体" w:hAnsi="宋体" w:hint="eastAsia"/>
          <w:szCs w:val="21"/>
        </w:rPr>
        <w:t>。</w:t>
      </w:r>
    </w:p>
    <w:p>
      <w:pPr>
        <w:pStyle w:val="style0"/>
        <w:spacing w:lineRule="exact" w:line="440"/>
        <w:ind w:right="565" w:rightChars="269" w:firstLine="420" w:firstLineChars="200"/>
        <w:rPr>
          <w:rFonts w:ascii="宋体" w:eastAsia="宋体" w:hAnsi="宋体"/>
          <w:szCs w:val="21"/>
        </w:rPr>
      </w:pPr>
    </w:p>
    <w:p>
      <w:pPr>
        <w:pStyle w:val="style0"/>
        <w:widowControl/>
        <w:jc w:val="left"/>
        <w:rPr>
          <w:rFonts w:ascii="Arial" w:cs="Arial" w:eastAsia="宋体" w:hAnsi="Arial"/>
          <w:b/>
          <w:bCs/>
          <w:sz w:val="44"/>
          <w:szCs w:val="32"/>
        </w:rPr>
      </w:pPr>
      <w:r>
        <w:br w:type="page"/>
      </w:r>
    </w:p>
    <w:bookmarkStart w:id="11" w:name="_Toc509241976"/>
    <w:p>
      <w:pPr>
        <w:pStyle w:val="style62"/>
        <w:spacing w:before="0" w:after="0"/>
        <w:rPr/>
      </w:pPr>
      <w:r>
        <w:rPr>
          <w:rFonts w:hint="eastAsia"/>
        </w:rPr>
        <w:t>第三章</w:t>
      </w:r>
      <w:r>
        <w:rPr>
          <w:rFonts w:hint="eastAsia"/>
        </w:rPr>
        <w:t xml:space="preserve">   </w:t>
      </w:r>
      <w:r>
        <w:rPr>
          <w:rFonts w:hint="eastAsia"/>
        </w:rPr>
        <w:t>项目采购需求</w:t>
      </w:r>
      <w:bookmarkEnd w:id="11"/>
    </w:p>
    <w:bookmarkStart w:id="12" w:name="_Toc509241977"/>
    <w:p>
      <w:pPr>
        <w:pStyle w:val="style0"/>
        <w:rPr>
          <w:rFonts w:ascii="宋体" w:eastAsia="宋体" w:hAnsi="宋体"/>
          <w:b/>
          <w:sz w:val="32"/>
          <w:szCs w:val="32"/>
        </w:rPr>
      </w:pPr>
      <w:r>
        <w:rPr>
          <w:rFonts w:ascii="宋体" w:eastAsia="宋体" w:hAnsi="宋体" w:hint="eastAsia"/>
          <w:b/>
          <w:sz w:val="32"/>
          <w:szCs w:val="32"/>
        </w:rPr>
        <w:t>一、</w:t>
      </w:r>
      <w:bookmarkStart w:id="13" w:name="OLE_LINK7"/>
      <w:bookmarkStart w:id="14" w:name="OLE_LINK8"/>
      <w:r>
        <w:rPr>
          <w:rFonts w:ascii="宋体" w:eastAsia="宋体" w:hAnsi="宋体" w:hint="eastAsia"/>
          <w:b/>
          <w:sz w:val="32"/>
          <w:szCs w:val="32"/>
        </w:rPr>
        <w:t>防制对象</w:t>
      </w:r>
      <w:r>
        <w:rPr>
          <w:rFonts w:ascii="宋体" w:eastAsia="宋体" w:hAnsi="宋体" w:hint="eastAsia"/>
          <w:b/>
          <w:sz w:val="32"/>
          <w:szCs w:val="32"/>
        </w:rPr>
        <w:t>及范围</w:t>
      </w:r>
    </w:p>
    <w:p>
      <w:pPr>
        <w:pStyle w:val="style2"/>
        <w:keepNext w:val="false"/>
        <w:keepLines w:val="false"/>
        <w:spacing w:before="0" w:after="0"/>
        <w:rPr/>
      </w:pPr>
      <w:r>
        <w:rPr>
          <w:rFonts w:hint="eastAsia"/>
        </w:rPr>
        <w:t xml:space="preserve">  </w:t>
      </w:r>
      <w:r>
        <w:rPr>
          <w:rFonts w:hint="eastAsia"/>
        </w:rPr>
        <w:t>（一）防制对象：鼠类、蚊类、蝇类、蟑类</w:t>
      </w:r>
      <w:r>
        <w:rPr>
          <w:rFonts w:hint="eastAsia"/>
        </w:rPr>
        <w:t>、</w:t>
      </w:r>
      <w:r>
        <w:rPr>
          <w:rFonts w:hint="eastAsia"/>
        </w:rPr>
        <w:t>蚁</w:t>
      </w:r>
      <w:r>
        <w:rPr>
          <w:rFonts w:hint="eastAsia"/>
        </w:rPr>
        <w:t>类</w:t>
      </w:r>
      <w:r>
        <w:rPr>
          <w:rFonts w:hint="eastAsia"/>
        </w:rPr>
        <w:t>、其他虫害</w:t>
      </w:r>
      <w:r>
        <w:rPr>
          <w:rFonts w:hint="eastAsia"/>
        </w:rPr>
        <w:t>等</w:t>
      </w:r>
      <w:r>
        <w:rPr>
          <w:rFonts w:hint="eastAsia"/>
        </w:rPr>
        <w:t>。</w:t>
      </w:r>
    </w:p>
    <w:p>
      <w:pPr>
        <w:pStyle w:val="style0"/>
        <w:spacing w:lineRule="auto" w:line="360"/>
        <w:ind w:firstLine="416" w:firstLineChars="198"/>
        <w:rPr>
          <w:rFonts w:ascii="宋体" w:hAnsi="宋体"/>
          <w:szCs w:val="21"/>
        </w:rPr>
      </w:pPr>
      <w:r>
        <w:rPr>
          <w:rFonts w:ascii="宋体" w:hAnsi="宋体" w:hint="eastAsia"/>
          <w:szCs w:val="21"/>
        </w:rPr>
        <w:t>1、鼠类：褐家鼠、小家鼠，黄胸鼠。</w:t>
      </w:r>
    </w:p>
    <w:p>
      <w:pPr>
        <w:pStyle w:val="style0"/>
        <w:spacing w:lineRule="auto" w:line="360"/>
        <w:ind w:firstLine="416" w:firstLineChars="198"/>
        <w:rPr>
          <w:rFonts w:ascii="宋体" w:hAnsi="宋体"/>
          <w:szCs w:val="21"/>
        </w:rPr>
      </w:pPr>
      <w:r>
        <w:rPr>
          <w:rFonts w:ascii="宋体" w:hAnsi="宋体" w:hint="eastAsia"/>
          <w:szCs w:val="21"/>
        </w:rPr>
        <w:t>2、蟑类：德国小蠊、美洲大蠊、黑胸大蠊</w:t>
      </w:r>
    </w:p>
    <w:p>
      <w:pPr>
        <w:pStyle w:val="style0"/>
        <w:spacing w:lineRule="auto" w:line="360"/>
        <w:ind w:firstLine="416" w:firstLineChars="198"/>
        <w:rPr>
          <w:rFonts w:ascii="宋体" w:hAnsi="宋体"/>
          <w:szCs w:val="21"/>
        </w:rPr>
      </w:pPr>
      <w:r>
        <w:rPr>
          <w:rFonts w:ascii="宋体" w:hAnsi="宋体" w:hint="eastAsia"/>
          <w:szCs w:val="21"/>
        </w:rPr>
        <w:t>3、蚊类：淡色库蚊、白蚊伊蚊、中华按蚊</w:t>
      </w:r>
    </w:p>
    <w:p>
      <w:pPr>
        <w:pStyle w:val="style0"/>
        <w:spacing w:lineRule="auto" w:line="360"/>
        <w:ind w:firstLine="416" w:firstLineChars="198"/>
        <w:rPr>
          <w:rFonts w:ascii="宋体" w:hAnsi="宋体"/>
          <w:szCs w:val="21"/>
        </w:rPr>
      </w:pPr>
      <w:r>
        <w:rPr>
          <w:rFonts w:ascii="宋体" w:hAnsi="宋体" w:hint="eastAsia"/>
          <w:szCs w:val="21"/>
        </w:rPr>
        <w:t>4、蝇类：舍蝇、市蝇、大家蝇、丝光绿蝇</w:t>
      </w:r>
    </w:p>
    <w:p>
      <w:pPr>
        <w:pStyle w:val="style0"/>
        <w:spacing w:lineRule="auto" w:line="360"/>
        <w:ind w:firstLine="416" w:firstLineChars="198"/>
        <w:rPr>
          <w:rFonts w:ascii="宋体" w:hAnsi="宋体"/>
          <w:szCs w:val="21"/>
        </w:rPr>
      </w:pPr>
      <w:r>
        <w:rPr>
          <w:rFonts w:ascii="宋体" w:hAnsi="宋体" w:hint="eastAsia"/>
          <w:szCs w:val="21"/>
        </w:rPr>
        <w:t>5、蚁类：白蚁、小黄家蚁、舍蚁</w:t>
      </w:r>
    </w:p>
    <w:p>
      <w:pPr>
        <w:pStyle w:val="style0"/>
        <w:spacing w:lineRule="auto" w:line="360"/>
        <w:ind w:firstLine="416" w:firstLineChars="198"/>
        <w:rPr>
          <w:rFonts w:ascii="宋体" w:hAnsi="宋体"/>
          <w:szCs w:val="21"/>
        </w:rPr>
      </w:pPr>
      <w:r>
        <w:rPr>
          <w:rFonts w:ascii="宋体" w:hAnsi="宋体" w:hint="eastAsia"/>
          <w:szCs w:val="21"/>
        </w:rPr>
        <w:t>6：其他害虫：根据甲方发现报告的除上述以外的害虫</w:t>
      </w:r>
    </w:p>
    <w:p>
      <w:pPr>
        <w:pStyle w:val="style2"/>
        <w:keepNext w:val="false"/>
        <w:keepLines w:val="false"/>
        <w:spacing w:before="0" w:after="0"/>
        <w:ind w:firstLine="321" w:firstLineChars="100"/>
        <w:rPr/>
      </w:pPr>
      <w:r>
        <w:rPr>
          <w:rFonts w:hint="eastAsia"/>
        </w:rPr>
        <w:t>（二）</w:t>
      </w:r>
      <w:r>
        <w:rPr>
          <w:rFonts w:hint="eastAsia"/>
        </w:rPr>
        <w:t>防</w:t>
      </w:r>
      <w:bookmarkEnd w:id="13"/>
      <w:bookmarkEnd w:id="14"/>
      <w:r>
        <w:rPr>
          <w:rFonts w:hint="eastAsia"/>
        </w:rPr>
        <w:t>制</w:t>
      </w:r>
      <w:r>
        <w:rPr>
          <w:rFonts w:hint="eastAsia"/>
        </w:rPr>
        <w:t>范围</w:t>
      </w:r>
      <w:bookmarkEnd w:id="12"/>
      <w:r>
        <w:rPr>
          <w:rFonts w:hint="eastAsia"/>
        </w:rPr>
        <w:t xml:space="preserve">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56"/>
        <w:gridCol w:w="2945"/>
        <w:gridCol w:w="1417"/>
        <w:gridCol w:w="1418"/>
        <w:gridCol w:w="1276"/>
        <w:gridCol w:w="1275"/>
      </w:tblGrid>
      <w:tr>
        <w:trPr>
          <w:trHeight w:val="797" w:hRule="atLeast"/>
        </w:trPr>
        <w:tc>
          <w:tcPr>
            <w:tcW w:w="9087" w:type="dxa"/>
            <w:gridSpan w:val="6"/>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kern w:val="0"/>
                <w:szCs w:val="21"/>
              </w:rPr>
            </w:pPr>
            <w:r>
              <w:rPr>
                <w:rFonts w:ascii="宋体" w:cs="宋体" w:hAnsi="宋体" w:hint="eastAsia"/>
                <w:b/>
                <w:bCs/>
                <w:szCs w:val="21"/>
              </w:rPr>
              <w:t>防治范围明细一览表</w:t>
            </w:r>
          </w:p>
        </w:tc>
      </w:tr>
      <w:tr>
        <w:tblPrEx/>
        <w:trPr>
          <w:trHeight w:val="797"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szCs w:val="21"/>
              </w:rPr>
            </w:pPr>
            <w:r>
              <w:rPr>
                <w:rFonts w:ascii="宋体" w:cs="宋体" w:hAnsi="宋体" w:hint="eastAsia"/>
                <w:kern w:val="0"/>
                <w:szCs w:val="21"/>
              </w:rPr>
              <w:t>序号</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kern w:val="0"/>
                <w:szCs w:val="21"/>
              </w:rPr>
            </w:pPr>
            <w:r>
              <w:rPr>
                <w:rFonts w:ascii="宋体" w:cs="宋体" w:hAnsi="宋体" w:hint="eastAsia"/>
                <w:kern w:val="0"/>
                <w:szCs w:val="21"/>
              </w:rPr>
              <w:t>消杀区域</w:t>
            </w:r>
          </w:p>
        </w:tc>
        <w:tc>
          <w:tcPr>
            <w:tcW w:w="1417" w:type="dxa"/>
            <w:tcBorders>
              <w:top w:val="single" w:sz="4" w:space="0" w:color="000000"/>
              <w:left w:val="single" w:sz="4" w:space="0" w:color="000000"/>
              <w:bottom w:val="single" w:sz="4" w:space="0" w:color="000000"/>
              <w:right w:val="single" w:sz="4" w:space="0" w:color="auto"/>
            </w:tcBorders>
            <w:vAlign w:val="center"/>
          </w:tcPr>
          <w:p>
            <w:pPr>
              <w:pStyle w:val="style0"/>
              <w:jc w:val="center"/>
              <w:textAlignment w:val="center"/>
              <w:rPr>
                <w:rFonts w:ascii="宋体" w:cs="宋体" w:hAnsi="宋体"/>
                <w:kern w:val="0"/>
                <w:szCs w:val="21"/>
              </w:rPr>
            </w:pPr>
            <w:r>
              <w:rPr>
                <w:rFonts w:ascii="宋体" w:cs="宋体" w:hAnsi="宋体" w:hint="eastAsia"/>
                <w:kern w:val="0"/>
                <w:szCs w:val="21"/>
              </w:rPr>
              <w:t>占地</w:t>
            </w:r>
            <w:r>
              <w:rPr>
                <w:rFonts w:ascii="宋体" w:cs="宋体" w:hAnsi="宋体" w:hint="eastAsia"/>
                <w:kern w:val="0"/>
                <w:szCs w:val="21"/>
              </w:rPr>
              <w:t>面积（㎡）</w:t>
            </w:r>
          </w:p>
        </w:tc>
        <w:tc>
          <w:tcPr>
            <w:tcW w:w="1418" w:type="dxa"/>
            <w:tcBorders>
              <w:top w:val="single" w:sz="4" w:space="0" w:color="000000"/>
              <w:left w:val="single" w:sz="4" w:space="0" w:color="auto"/>
              <w:bottom w:val="single" w:sz="4" w:space="0" w:color="auto"/>
              <w:right w:val="single" w:sz="4" w:space="0" w:color="000000"/>
            </w:tcBorders>
            <w:vAlign w:val="center"/>
          </w:tcPr>
          <w:p>
            <w:pPr>
              <w:pStyle w:val="style0"/>
              <w:jc w:val="center"/>
              <w:textAlignment w:val="center"/>
              <w:rPr>
                <w:rFonts w:ascii="宋体" w:cs="宋体" w:hAnsi="宋体"/>
                <w:kern w:val="0"/>
                <w:szCs w:val="21"/>
              </w:rPr>
            </w:pPr>
            <w:r>
              <w:rPr>
                <w:rFonts w:ascii="宋体" w:cs="宋体" w:hAnsi="宋体" w:hint="eastAsia"/>
                <w:kern w:val="0"/>
                <w:szCs w:val="21"/>
              </w:rPr>
              <w:t>建筑</w:t>
            </w:r>
            <w:r>
              <w:rPr>
                <w:rFonts w:ascii="宋体" w:cs="宋体" w:hAnsi="宋体" w:hint="eastAsia"/>
                <w:kern w:val="0"/>
                <w:szCs w:val="21"/>
              </w:rPr>
              <w:t>面积（㎡）</w:t>
            </w:r>
          </w:p>
        </w:tc>
        <w:tc>
          <w:tcPr>
            <w:tcW w:w="1276" w:type="dxa"/>
            <w:tcBorders>
              <w:top w:val="single" w:sz="4" w:space="0" w:color="000000"/>
              <w:left w:val="single" w:sz="4" w:space="0" w:color="000000"/>
              <w:bottom w:val="single" w:sz="4" w:space="0" w:color="auto"/>
              <w:right w:val="single" w:sz="4" w:space="0" w:color="000000"/>
            </w:tcBorders>
            <w:vAlign w:val="center"/>
          </w:tcPr>
          <w:p>
            <w:pPr>
              <w:pStyle w:val="style0"/>
              <w:jc w:val="center"/>
              <w:textAlignment w:val="center"/>
              <w:rPr>
                <w:rFonts w:ascii="宋体" w:cs="宋体" w:hAnsi="宋体"/>
                <w:kern w:val="0"/>
                <w:szCs w:val="21"/>
              </w:rPr>
            </w:pPr>
            <w:r>
              <w:rPr>
                <w:rFonts w:ascii="宋体" w:cs="宋体" w:hAnsi="宋体" w:hint="eastAsia"/>
                <w:kern w:val="0"/>
                <w:szCs w:val="21"/>
              </w:rPr>
              <w:t>消杀频率</w:t>
            </w: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宋体" w:cs="宋体" w:hAnsi="宋体"/>
                <w:kern w:val="0"/>
                <w:szCs w:val="21"/>
              </w:rPr>
            </w:pPr>
            <w:r>
              <w:rPr>
                <w:rFonts w:ascii="宋体" w:cs="宋体" w:hAnsi="宋体" w:hint="eastAsia"/>
                <w:kern w:val="0"/>
                <w:szCs w:val="21"/>
              </w:rPr>
              <w:t>备注</w:t>
            </w:r>
          </w:p>
        </w:tc>
      </w:tr>
      <w:tr>
        <w:tblPrEx/>
        <w:trPr>
          <w:trHeight w:val="413"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1</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r>
              <w:rPr>
                <w:rFonts w:ascii="宋体" w:cs="宋体" w:hAnsi="宋体" w:hint="eastAsia"/>
                <w:color w:val="000000"/>
                <w:kern w:val="0"/>
                <w:szCs w:val="21"/>
              </w:rPr>
              <w:t>莲花山院区</w:t>
            </w:r>
          </w:p>
        </w:tc>
        <w:tc>
          <w:tcPr>
            <w:tcW w:w="1417" w:type="dxa"/>
            <w:tcBorders>
              <w:top w:val="single" w:sz="4" w:space="0" w:color="000000"/>
              <w:left w:val="single" w:sz="4" w:space="0" w:color="000000"/>
              <w:bottom w:val="single" w:sz="4" w:space="0" w:color="000000"/>
              <w:right w:val="single" w:sz="4" w:space="0" w:color="auto"/>
            </w:tcBorders>
          </w:tcPr>
          <w:p>
            <w:pPr>
              <w:pStyle w:val="style0"/>
              <w:spacing w:lineRule="atLeast" w:line="220"/>
              <w:rPr>
                <w:color w:val="000000"/>
              </w:rPr>
            </w:pPr>
            <w:r>
              <w:rPr>
                <w:rFonts w:hint="eastAsia"/>
                <w:color w:val="000000"/>
              </w:rPr>
              <w:t>93482.05</w:t>
            </w:r>
          </w:p>
        </w:tc>
        <w:tc>
          <w:tcPr>
            <w:tcW w:w="1418" w:type="dxa"/>
            <w:tcBorders>
              <w:top w:val="single" w:sz="4" w:space="0" w:color="000000"/>
              <w:left w:val="single" w:sz="4" w:space="0" w:color="auto"/>
              <w:bottom w:val="single" w:sz="4" w:space="0" w:color="000000"/>
              <w:right w:val="single" w:sz="4" w:space="0" w:color="000000"/>
            </w:tcBorders>
          </w:tcPr>
          <w:p>
            <w:pPr>
              <w:pStyle w:val="style0"/>
              <w:spacing w:lineRule="atLeast" w:line="220"/>
              <w:rPr>
                <w:color w:val="000000"/>
              </w:rPr>
            </w:pPr>
            <w:r>
              <w:rPr>
                <w:rFonts w:hint="eastAsia"/>
                <w:color w:val="000000"/>
              </w:rPr>
              <w:t>137170.04</w:t>
            </w:r>
          </w:p>
        </w:tc>
        <w:tc>
          <w:tcPr>
            <w:tcW w:w="1276" w:type="dxa"/>
            <w:vMerge w:val="restart"/>
            <w:tcBorders>
              <w:top w:val="single" w:sz="4" w:space="0" w:color="000000"/>
              <w:left w:val="single" w:sz="4" w:space="0" w:color="000000"/>
              <w:right w:val="single" w:sz="4" w:space="0" w:color="000000"/>
            </w:tcBorders>
            <w:vAlign w:val="center"/>
          </w:tcPr>
          <w:p>
            <w:pPr>
              <w:pStyle w:val="style0"/>
              <w:jc w:val="center"/>
              <w:textAlignment w:val="center"/>
              <w:rPr>
                <w:rFonts w:ascii="宋体" w:cs="宋体" w:eastAsia="宋体" w:hAnsi="宋体"/>
                <w:color w:val="000000"/>
                <w:kern w:val="0"/>
                <w:szCs w:val="21"/>
              </w:rPr>
            </w:pPr>
            <w:r>
              <w:rPr>
                <w:rFonts w:ascii="宋体" w:cs="宋体" w:eastAsia="宋体" w:hAnsi="宋体" w:hint="eastAsia"/>
                <w:color w:val="000000"/>
                <w:kern w:val="0"/>
                <w:sz w:val="20"/>
              </w:rPr>
              <w:t>每月至少消杀1次，四害旺季（4-10月）需适当增加消杀频次，每月至少2次常规消杀。</w:t>
            </w: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宋体" w:cs="宋体" w:hAnsi="宋体"/>
                <w:color w:val="000000"/>
                <w:kern w:val="0"/>
                <w:szCs w:val="21"/>
              </w:rPr>
            </w:pPr>
          </w:p>
        </w:tc>
      </w:tr>
      <w:tr>
        <w:tblPrEx/>
        <w:trPr>
          <w:trHeight w:val="413"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2</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r>
              <w:rPr>
                <w:rFonts w:ascii="宋体" w:cs="宋体" w:hAnsi="宋体" w:hint="eastAsia"/>
                <w:color w:val="000000"/>
                <w:kern w:val="0"/>
                <w:szCs w:val="21"/>
              </w:rPr>
              <w:t>柳候院区</w:t>
            </w:r>
          </w:p>
        </w:tc>
        <w:tc>
          <w:tcPr>
            <w:tcW w:w="1417" w:type="dxa"/>
            <w:tcBorders>
              <w:top w:val="single" w:sz="4" w:space="0" w:color="000000"/>
              <w:left w:val="single" w:sz="4" w:space="0" w:color="000000"/>
              <w:bottom w:val="single" w:sz="4" w:space="0" w:color="000000"/>
              <w:right w:val="single" w:sz="4" w:space="0" w:color="auto"/>
            </w:tcBorders>
          </w:tcPr>
          <w:p>
            <w:pPr>
              <w:pStyle w:val="style0"/>
              <w:spacing w:lineRule="atLeast" w:line="220"/>
              <w:rPr>
                <w:color w:val="000000"/>
              </w:rPr>
            </w:pPr>
            <w:r>
              <w:rPr>
                <w:rFonts w:hint="eastAsia"/>
                <w:color w:val="000000"/>
              </w:rPr>
              <w:t>9104.8</w:t>
            </w:r>
          </w:p>
        </w:tc>
        <w:tc>
          <w:tcPr>
            <w:tcW w:w="1418" w:type="dxa"/>
            <w:tcBorders>
              <w:top w:val="single" w:sz="4" w:space="0" w:color="000000"/>
              <w:left w:val="single" w:sz="4" w:space="0" w:color="auto"/>
              <w:bottom w:val="single" w:sz="4" w:space="0" w:color="000000"/>
              <w:right w:val="single" w:sz="4" w:space="0" w:color="000000"/>
            </w:tcBorders>
          </w:tcPr>
          <w:p>
            <w:pPr>
              <w:pStyle w:val="style0"/>
              <w:spacing w:lineRule="atLeast" w:line="220"/>
              <w:rPr>
                <w:color w:val="000000"/>
              </w:rPr>
            </w:pPr>
            <w:r>
              <w:rPr>
                <w:rFonts w:hint="eastAsia"/>
                <w:color w:val="000000"/>
              </w:rPr>
              <w:t>36243.7</w:t>
            </w:r>
          </w:p>
        </w:tc>
        <w:tc>
          <w:tcPr>
            <w:tcW w:w="1276" w:type="dxa"/>
            <w:vMerge w:val="continue"/>
            <w:tcBorders>
              <w:left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仿宋_GB2312" w:cs="宋体" w:eastAsia="仿宋_GB2312" w:hAnsi="宋体"/>
                <w:color w:val="000000"/>
                <w:kern w:val="0"/>
                <w:sz w:val="20"/>
              </w:rPr>
            </w:pPr>
          </w:p>
        </w:tc>
      </w:tr>
      <w:tr>
        <w:tblPrEx/>
        <w:trPr>
          <w:trHeight w:val="378"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3</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r>
              <w:rPr>
                <w:rFonts w:ascii="宋体" w:cs="宋体" w:hAnsi="宋体" w:hint="eastAsia"/>
                <w:color w:val="000000"/>
                <w:kern w:val="0"/>
                <w:szCs w:val="21"/>
              </w:rPr>
              <w:t>北院院区</w:t>
            </w:r>
            <w:r>
              <w:rPr>
                <w:rFonts w:ascii="宋体" w:cs="宋体" w:hAnsi="宋体" w:hint="eastAsia"/>
                <w:color w:val="000000"/>
                <w:kern w:val="0"/>
                <w:szCs w:val="21"/>
              </w:rPr>
              <w:t>、解放社区</w:t>
            </w:r>
            <w:r>
              <w:rPr>
                <w:rFonts w:ascii="宋体" w:cs="宋体" w:hAnsi="宋体" w:hint="eastAsia"/>
                <w:color w:val="000000"/>
                <w:kern w:val="0"/>
                <w:szCs w:val="21"/>
              </w:rPr>
              <w:t>中心</w:t>
            </w:r>
          </w:p>
        </w:tc>
        <w:tc>
          <w:tcPr>
            <w:tcW w:w="1417" w:type="dxa"/>
            <w:tcBorders>
              <w:top w:val="single" w:sz="4" w:space="0" w:color="000000"/>
              <w:left w:val="single" w:sz="4" w:space="0" w:color="000000"/>
              <w:bottom w:val="single" w:sz="4" w:space="0" w:color="000000"/>
              <w:right w:val="single" w:sz="4" w:space="0" w:color="auto"/>
            </w:tcBorders>
          </w:tcPr>
          <w:p>
            <w:pPr>
              <w:pStyle w:val="style0"/>
              <w:spacing w:lineRule="atLeast" w:line="220"/>
              <w:rPr>
                <w:color w:val="000000"/>
              </w:rPr>
            </w:pPr>
            <w:r>
              <w:rPr>
                <w:rFonts w:hint="eastAsia"/>
                <w:color w:val="000000"/>
              </w:rPr>
              <w:t>9640.3</w:t>
            </w:r>
          </w:p>
        </w:tc>
        <w:tc>
          <w:tcPr>
            <w:tcW w:w="1418" w:type="dxa"/>
            <w:tcBorders>
              <w:top w:val="single" w:sz="4" w:space="0" w:color="000000"/>
              <w:left w:val="single" w:sz="4" w:space="0" w:color="auto"/>
              <w:bottom w:val="single" w:sz="4" w:space="0" w:color="000000"/>
              <w:right w:val="single" w:sz="4" w:space="0" w:color="000000"/>
            </w:tcBorders>
          </w:tcPr>
          <w:p>
            <w:pPr>
              <w:pStyle w:val="style0"/>
              <w:spacing w:lineRule="atLeast" w:line="220"/>
              <w:rPr>
                <w:color w:val="000000"/>
              </w:rPr>
            </w:pPr>
            <w:r>
              <w:rPr>
                <w:rFonts w:hint="eastAsia"/>
                <w:color w:val="000000"/>
              </w:rPr>
              <w:t>9743</w:t>
            </w:r>
          </w:p>
        </w:tc>
        <w:tc>
          <w:tcPr>
            <w:tcW w:w="1276" w:type="dxa"/>
            <w:vMerge w:val="continue"/>
            <w:tcBorders>
              <w:left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宋体" w:cs="宋体" w:hAnsi="宋体"/>
                <w:color w:val="000000"/>
                <w:kern w:val="0"/>
                <w:szCs w:val="21"/>
              </w:rPr>
            </w:pPr>
          </w:p>
        </w:tc>
      </w:tr>
      <w:tr>
        <w:tblPrEx/>
        <w:trPr>
          <w:trHeight w:val="396"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4</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r>
              <w:rPr>
                <w:rFonts w:ascii="宋体" w:cs="宋体" w:hAnsi="宋体" w:hint="eastAsia"/>
                <w:color w:val="000000"/>
                <w:kern w:val="0"/>
                <w:szCs w:val="21"/>
              </w:rPr>
              <w:t>静兰社区卫生服务中心</w:t>
            </w:r>
          </w:p>
        </w:tc>
        <w:tc>
          <w:tcPr>
            <w:tcW w:w="1417" w:type="dxa"/>
            <w:tcBorders>
              <w:top w:val="single" w:sz="4" w:space="0" w:color="000000"/>
              <w:left w:val="single" w:sz="4" w:space="0" w:color="000000"/>
              <w:bottom w:val="single" w:sz="4" w:space="0" w:color="000000"/>
              <w:right w:val="single" w:sz="4" w:space="0" w:color="auto"/>
            </w:tcBorders>
          </w:tcPr>
          <w:p>
            <w:pPr>
              <w:pStyle w:val="style0"/>
              <w:spacing w:lineRule="atLeast" w:line="220"/>
              <w:rPr>
                <w:color w:val="000000"/>
              </w:rPr>
            </w:pPr>
            <w:r>
              <w:rPr>
                <w:rFonts w:hint="eastAsia"/>
                <w:color w:val="000000"/>
              </w:rPr>
              <w:t>2680</w:t>
            </w:r>
          </w:p>
        </w:tc>
        <w:tc>
          <w:tcPr>
            <w:tcW w:w="1418" w:type="dxa"/>
            <w:tcBorders>
              <w:top w:val="single" w:sz="4" w:space="0" w:color="000000"/>
              <w:left w:val="single" w:sz="4" w:space="0" w:color="auto"/>
              <w:bottom w:val="single" w:sz="4" w:space="0" w:color="000000"/>
              <w:right w:val="single" w:sz="4" w:space="0" w:color="000000"/>
            </w:tcBorders>
          </w:tcPr>
          <w:p>
            <w:pPr>
              <w:pStyle w:val="style0"/>
              <w:spacing w:lineRule="atLeast" w:line="220"/>
              <w:rPr>
                <w:color w:val="000000"/>
              </w:rPr>
            </w:pPr>
            <w:r>
              <w:rPr>
                <w:rFonts w:hint="eastAsia"/>
                <w:color w:val="000000"/>
              </w:rPr>
              <w:t>1340</w:t>
            </w:r>
          </w:p>
        </w:tc>
        <w:tc>
          <w:tcPr>
            <w:tcW w:w="1276" w:type="dxa"/>
            <w:vMerge w:val="continue"/>
            <w:tcBorders>
              <w:left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宋体" w:cs="宋体" w:hAnsi="宋体"/>
                <w:color w:val="000000"/>
                <w:kern w:val="0"/>
                <w:szCs w:val="21"/>
              </w:rPr>
            </w:pPr>
          </w:p>
        </w:tc>
      </w:tr>
      <w:tr>
        <w:tblPrEx/>
        <w:trPr>
          <w:trHeight w:val="344"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5</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r>
              <w:rPr>
                <w:rFonts w:ascii="宋体" w:cs="宋体" w:hAnsi="宋体" w:hint="eastAsia"/>
                <w:color w:val="000000"/>
                <w:kern w:val="0"/>
                <w:szCs w:val="21"/>
              </w:rPr>
              <w:t>清水塘</w:t>
            </w:r>
          </w:p>
        </w:tc>
        <w:tc>
          <w:tcPr>
            <w:tcW w:w="1417" w:type="dxa"/>
            <w:tcBorders>
              <w:top w:val="single" w:sz="4" w:space="0" w:color="000000"/>
              <w:left w:val="single" w:sz="4" w:space="0" w:color="000000"/>
              <w:bottom w:val="single" w:sz="4" w:space="0" w:color="000000"/>
              <w:right w:val="single" w:sz="4" w:space="0" w:color="auto"/>
            </w:tcBorders>
          </w:tcPr>
          <w:p>
            <w:pPr>
              <w:pStyle w:val="style0"/>
              <w:spacing w:lineRule="atLeast" w:line="220"/>
              <w:rPr>
                <w:color w:val="000000"/>
              </w:rPr>
            </w:pPr>
            <w:r>
              <w:rPr>
                <w:rFonts w:hint="eastAsia"/>
                <w:color w:val="000000"/>
              </w:rPr>
              <w:t>817</w:t>
            </w:r>
          </w:p>
        </w:tc>
        <w:tc>
          <w:tcPr>
            <w:tcW w:w="1418" w:type="dxa"/>
            <w:tcBorders>
              <w:top w:val="single" w:sz="4" w:space="0" w:color="000000"/>
              <w:left w:val="single" w:sz="4" w:space="0" w:color="auto"/>
              <w:bottom w:val="single" w:sz="4" w:space="0" w:color="000000"/>
              <w:right w:val="single" w:sz="4" w:space="0" w:color="000000"/>
            </w:tcBorders>
          </w:tcPr>
          <w:p>
            <w:pPr>
              <w:pStyle w:val="style0"/>
              <w:spacing w:lineRule="atLeast" w:line="220"/>
              <w:rPr>
                <w:color w:val="000000"/>
              </w:rPr>
            </w:pPr>
            <w:r>
              <w:rPr>
                <w:rFonts w:hint="eastAsia"/>
                <w:color w:val="000000"/>
              </w:rPr>
              <w:t>1195</w:t>
            </w:r>
          </w:p>
        </w:tc>
        <w:tc>
          <w:tcPr>
            <w:tcW w:w="1276" w:type="dxa"/>
            <w:vMerge w:val="continue"/>
            <w:tcBorders>
              <w:left w:val="single" w:sz="4" w:space="0" w:color="000000"/>
              <w:bottom w:val="single" w:sz="4" w:space="0" w:color="auto"/>
              <w:right w:val="single" w:sz="4" w:space="0" w:color="000000"/>
            </w:tcBorders>
            <w:vAlign w:val="center"/>
          </w:tcPr>
          <w:p>
            <w:pPr>
              <w:pStyle w:val="style0"/>
              <w:jc w:val="center"/>
              <w:textAlignment w:val="center"/>
              <w:rPr>
                <w:rFonts w:ascii="宋体" w:cs="宋体" w:hAnsi="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宋体" w:cs="宋体" w:hAnsi="宋体"/>
                <w:color w:val="000000"/>
                <w:kern w:val="0"/>
                <w:szCs w:val="21"/>
              </w:rPr>
            </w:pPr>
          </w:p>
        </w:tc>
      </w:tr>
      <w:tr>
        <w:tblPrEx/>
        <w:trPr>
          <w:trHeight w:val="413"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6</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pPr>
              <w:pStyle w:val="style0"/>
              <w:jc w:val="center"/>
              <w:textAlignment w:val="center"/>
              <w:rPr>
                <w:rFonts w:ascii="Tahoma" w:cs="Tahoma" w:eastAsia="Tahoma" w:hAnsi="Tahoma"/>
                <w:color w:val="00000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6" w:type="dxa"/>
            <w:tcBorders>
              <w:top w:val="single" w:sz="4" w:space="0" w:color="auto"/>
              <w:left w:val="single" w:sz="4" w:space="0" w:color="000000"/>
              <w:bottom w:val="single" w:sz="4" w:space="0" w:color="auto"/>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Tahoma" w:cs="Tahoma" w:eastAsia="Tahoma" w:hAnsi="Tahoma"/>
                <w:color w:val="000000"/>
                <w:szCs w:val="21"/>
              </w:rPr>
            </w:pPr>
          </w:p>
        </w:tc>
      </w:tr>
      <w:tr>
        <w:tblPrEx/>
        <w:trPr>
          <w:trHeight w:val="326"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7</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pPr>
              <w:pStyle w:val="style0"/>
              <w:jc w:val="center"/>
              <w:textAlignment w:val="center"/>
              <w:rPr>
                <w:rFonts w:ascii="Tahoma" w:cs="Tahoma" w:eastAsia="Tahoma" w:hAnsi="Tahoma"/>
                <w:color w:val="00000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6" w:type="dxa"/>
            <w:tcBorders>
              <w:top w:val="single" w:sz="4" w:space="0" w:color="auto"/>
              <w:left w:val="single" w:sz="4" w:space="0" w:color="000000"/>
              <w:bottom w:val="single" w:sz="4" w:space="0" w:color="auto"/>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Tahoma" w:cs="Tahoma" w:eastAsia="Tahoma" w:hAnsi="Tahoma"/>
                <w:color w:val="000000"/>
                <w:szCs w:val="21"/>
              </w:rPr>
            </w:pPr>
          </w:p>
        </w:tc>
      </w:tr>
      <w:tr>
        <w:tblPrEx/>
        <w:trPr>
          <w:trHeight w:val="396"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8</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pPr>
              <w:pStyle w:val="style0"/>
              <w:jc w:val="center"/>
              <w:textAlignment w:val="center"/>
              <w:rPr>
                <w:rFonts w:ascii="Tahoma" w:cs="Tahoma" w:eastAsia="Tahoma" w:hAnsi="Tahoma"/>
                <w:color w:val="00000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Tahoma" w:cs="Tahoma" w:eastAsia="Tahoma" w:hAnsi="Tahoma"/>
                <w:color w:val="000000"/>
                <w:szCs w:val="21"/>
              </w:rPr>
            </w:pPr>
          </w:p>
        </w:tc>
      </w:tr>
      <w:tr>
        <w:tblPrEx/>
        <w:trPr>
          <w:trHeight w:val="380"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9</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pPr>
              <w:pStyle w:val="style0"/>
              <w:jc w:val="center"/>
              <w:textAlignment w:val="center"/>
              <w:rPr>
                <w:rFonts w:ascii="Tahoma" w:cs="Tahoma" w:eastAsia="Tahoma" w:hAnsi="Tahoma"/>
                <w:color w:val="00000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Tahoma" w:cs="Tahoma" w:eastAsia="Tahoma" w:hAnsi="Tahoma"/>
                <w:color w:val="000000"/>
                <w:szCs w:val="21"/>
              </w:rPr>
            </w:pPr>
          </w:p>
        </w:tc>
      </w:tr>
      <w:tr>
        <w:tblPrEx/>
        <w:trPr>
          <w:trHeight w:val="343"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r>
              <w:rPr>
                <w:rFonts w:ascii="Tahoma" w:cs="Tahoma" w:eastAsia="Tahoma" w:hAnsi="Tahoma"/>
                <w:color w:val="000000"/>
                <w:kern w:val="0"/>
                <w:szCs w:val="21"/>
              </w:rPr>
              <w:t>10</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pPr>
              <w:pStyle w:val="style0"/>
              <w:jc w:val="center"/>
              <w:textAlignment w:val="center"/>
              <w:rPr>
                <w:rFonts w:ascii="Tahoma" w:cs="Tahoma" w:eastAsia="Tahoma" w:hAnsi="Tahoma"/>
                <w:color w:val="00000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Tahoma" w:cs="Tahoma" w:eastAsia="Tahoma" w:hAnsi="Tahoma"/>
                <w:color w:val="000000"/>
                <w:szCs w:val="21"/>
              </w:rPr>
            </w:pPr>
          </w:p>
        </w:tc>
      </w:tr>
      <w:tr>
        <w:tblPrEx/>
        <w:trPr>
          <w:trHeight w:val="332"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宋体" w:hAnsi="Tahoma"/>
                <w:color w:val="000000"/>
                <w:kern w:val="0"/>
                <w:szCs w:val="21"/>
              </w:rPr>
            </w:pPr>
            <w:r>
              <w:rPr>
                <w:rFonts w:ascii="Tahoma" w:cs="Tahoma" w:eastAsia="宋体" w:hAnsi="Tahoma" w:hint="eastAsia"/>
                <w:color w:val="000000"/>
                <w:kern w:val="0"/>
                <w:szCs w:val="21"/>
              </w:rPr>
              <w:t>合计</w:t>
            </w:r>
          </w:p>
        </w:tc>
        <w:tc>
          <w:tcPr>
            <w:tcW w:w="2945"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宋体" w:cs="宋体" w:hAnsi="宋体"/>
                <w:color w:val="000000"/>
                <w:kern w:val="0"/>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pPr>
              <w:pStyle w:val="style0"/>
              <w:jc w:val="center"/>
              <w:textAlignment w:val="center"/>
              <w:rPr>
                <w:rFonts w:ascii="Tahoma" w:cs="Tahoma" w:eastAsia="宋体" w:hAnsi="Tahoma"/>
                <w:color w:val="000000"/>
                <w:kern w:val="0"/>
                <w:szCs w:val="21"/>
              </w:rPr>
            </w:pPr>
            <w:r>
              <w:rPr>
                <w:rFonts w:ascii="Tahoma" w:cs="Tahoma" w:eastAsia="宋体" w:hAnsi="Tahoma" w:hint="eastAsia"/>
                <w:color w:val="000000"/>
                <w:kern w:val="0"/>
                <w:szCs w:val="21"/>
              </w:rPr>
              <w:t>115724.15</w:t>
            </w:r>
          </w:p>
        </w:tc>
        <w:tc>
          <w:tcPr>
            <w:tcW w:w="1418" w:type="dxa"/>
            <w:tcBorders>
              <w:top w:val="single" w:sz="4" w:space="0" w:color="000000"/>
              <w:left w:val="single" w:sz="4" w:space="0" w:color="auto"/>
              <w:bottom w:val="single" w:sz="4" w:space="0" w:color="000000"/>
              <w:right w:val="single" w:sz="4" w:space="0" w:color="000000"/>
            </w:tcBorders>
            <w:vAlign w:val="center"/>
          </w:tcPr>
          <w:p>
            <w:pPr>
              <w:pStyle w:val="style0"/>
              <w:jc w:val="center"/>
              <w:textAlignment w:val="center"/>
              <w:rPr>
                <w:rFonts w:ascii="Tahoma" w:cs="Tahoma" w:eastAsia="宋体" w:hAnsi="Tahoma"/>
                <w:color w:val="000000"/>
                <w:kern w:val="0"/>
                <w:szCs w:val="21"/>
              </w:rPr>
            </w:pPr>
            <w:r>
              <w:rPr>
                <w:rFonts w:ascii="Tahoma" w:cs="Tahoma" w:eastAsia="宋体" w:hAnsi="Tahoma" w:hint="eastAsia"/>
                <w:color w:val="000000"/>
                <w:kern w:val="0"/>
                <w:szCs w:val="21"/>
              </w:rPr>
              <w:t>185691.74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0"/>
              <w:jc w:val="center"/>
              <w:textAlignment w:val="center"/>
              <w:rPr>
                <w:rFonts w:ascii="Tahoma" w:cs="Tahoma" w:eastAsia="Tahoma" w:hAnsi="Tahoma"/>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pPr>
              <w:pStyle w:val="style0"/>
              <w:jc w:val="center"/>
              <w:textAlignment w:val="center"/>
              <w:rPr>
                <w:rFonts w:ascii="Tahoma" w:cs="Tahoma" w:eastAsia="Tahoma" w:hAnsi="Tahoma"/>
                <w:color w:val="000000"/>
                <w:kern w:val="0"/>
                <w:szCs w:val="21"/>
              </w:rPr>
            </w:pPr>
          </w:p>
        </w:tc>
      </w:tr>
      <w:bookmarkStart w:id="15" w:name="_Toc509241978"/>
    </w:tbl>
    <w:p>
      <w:pPr>
        <w:pStyle w:val="style2"/>
        <w:keepNext w:val="false"/>
        <w:keepLines w:val="false"/>
        <w:spacing w:before="0" w:after="0"/>
        <w:rPr>
          <w:b w:val="false"/>
          <w:color w:val="000000"/>
          <w:sz w:val="21"/>
          <w:szCs w:val="21"/>
        </w:rPr>
      </w:pPr>
      <w:r>
        <w:rPr>
          <w:rFonts w:hint="eastAsia"/>
          <w:b w:val="false"/>
          <w:color w:val="000000"/>
          <w:sz w:val="21"/>
          <w:szCs w:val="21"/>
        </w:rPr>
        <w:t>注：</w:t>
      </w:r>
      <w:r>
        <w:rPr>
          <w:rFonts w:hint="eastAsia"/>
          <w:b w:val="false"/>
          <w:color w:val="000000"/>
          <w:sz w:val="21"/>
          <w:szCs w:val="21"/>
        </w:rPr>
        <w:t>室内外所有区域</w:t>
      </w:r>
      <w:r>
        <w:rPr>
          <w:rFonts w:hint="eastAsia"/>
          <w:b w:val="false"/>
          <w:color w:val="000000"/>
          <w:sz w:val="21"/>
          <w:szCs w:val="21"/>
        </w:rPr>
        <w:t>为防制范围</w:t>
      </w:r>
      <w:r>
        <w:rPr>
          <w:rFonts w:hint="eastAsia"/>
          <w:b w:val="false"/>
          <w:color w:val="000000"/>
          <w:sz w:val="21"/>
          <w:szCs w:val="21"/>
        </w:rPr>
        <w:t>，重点包括职工食堂、病人</w:t>
      </w:r>
      <w:r>
        <w:rPr>
          <w:rFonts w:hint="eastAsia"/>
          <w:b w:val="false"/>
          <w:color w:val="000000"/>
          <w:sz w:val="21"/>
          <w:szCs w:val="21"/>
        </w:rPr>
        <w:t>食堂、职工食堂、门诊楼</w:t>
      </w:r>
      <w:r>
        <w:rPr>
          <w:rFonts w:hint="eastAsia"/>
          <w:b w:val="false"/>
          <w:color w:val="000000"/>
          <w:sz w:val="21"/>
          <w:szCs w:val="21"/>
        </w:rPr>
        <w:t>、医技楼</w:t>
      </w:r>
      <w:r>
        <w:rPr>
          <w:rFonts w:hint="eastAsia"/>
          <w:b w:val="false"/>
          <w:color w:val="000000"/>
          <w:sz w:val="21"/>
          <w:szCs w:val="21"/>
        </w:rPr>
        <w:t>、病房、</w:t>
      </w:r>
      <w:r>
        <w:rPr>
          <w:rFonts w:hint="eastAsia"/>
          <w:b w:val="false"/>
          <w:color w:val="000000"/>
          <w:sz w:val="21"/>
          <w:szCs w:val="21"/>
        </w:rPr>
        <w:t>药房、制剂楼、行政</w:t>
      </w:r>
      <w:r>
        <w:rPr>
          <w:rFonts w:hint="eastAsia"/>
          <w:b w:val="false"/>
          <w:color w:val="000000"/>
          <w:sz w:val="21"/>
          <w:szCs w:val="21"/>
        </w:rPr>
        <w:t>办区</w:t>
      </w:r>
      <w:r>
        <w:rPr>
          <w:rFonts w:hint="eastAsia"/>
          <w:b w:val="false"/>
          <w:color w:val="000000"/>
          <w:sz w:val="21"/>
          <w:szCs w:val="21"/>
        </w:rPr>
        <w:t>、会议、规培楼、</w:t>
      </w:r>
      <w:r>
        <w:rPr>
          <w:rFonts w:hint="eastAsia"/>
          <w:b w:val="false"/>
          <w:color w:val="000000"/>
          <w:sz w:val="21"/>
          <w:szCs w:val="21"/>
        </w:rPr>
        <w:t>教室、</w:t>
      </w:r>
      <w:r>
        <w:rPr>
          <w:rFonts w:hint="eastAsia"/>
          <w:b w:val="false"/>
          <w:color w:val="000000"/>
          <w:sz w:val="21"/>
          <w:szCs w:val="21"/>
        </w:rPr>
        <w:t>宿舍、</w:t>
      </w:r>
      <w:r>
        <w:rPr>
          <w:rFonts w:hint="eastAsia"/>
          <w:b w:val="false"/>
          <w:color w:val="000000"/>
          <w:sz w:val="21"/>
          <w:szCs w:val="21"/>
        </w:rPr>
        <w:t>设备机房、室内公共区域、室外公共区域</w:t>
      </w:r>
      <w:r>
        <w:rPr>
          <w:rFonts w:hint="eastAsia"/>
          <w:b w:val="false"/>
          <w:color w:val="000000"/>
          <w:sz w:val="21"/>
          <w:szCs w:val="21"/>
        </w:rPr>
        <w:t>、室外绿化区域、垃圾中转站、污水处理站</w:t>
      </w:r>
      <w:r>
        <w:rPr>
          <w:rFonts w:hint="eastAsia"/>
          <w:b w:val="false"/>
          <w:color w:val="000000"/>
          <w:sz w:val="21"/>
          <w:szCs w:val="21"/>
        </w:rPr>
        <w:t>、所有</w:t>
      </w:r>
      <w:r>
        <w:rPr>
          <w:rFonts w:hint="eastAsia"/>
          <w:b w:val="false"/>
          <w:color w:val="000000"/>
          <w:sz w:val="21"/>
          <w:szCs w:val="21"/>
        </w:rPr>
        <w:t>室内地下</w:t>
      </w:r>
      <w:r>
        <w:rPr>
          <w:rFonts w:hint="eastAsia"/>
          <w:b w:val="false"/>
          <w:color w:val="000000"/>
          <w:sz w:val="21"/>
          <w:szCs w:val="21"/>
        </w:rPr>
        <w:t>停车场</w:t>
      </w:r>
      <w:r>
        <w:rPr>
          <w:rFonts w:hint="eastAsia"/>
          <w:b w:val="false"/>
          <w:color w:val="000000"/>
          <w:sz w:val="21"/>
          <w:szCs w:val="21"/>
        </w:rPr>
        <w:t>等。</w:t>
      </w:r>
    </w:p>
    <w:p>
      <w:pPr>
        <w:pStyle w:val="style2"/>
        <w:keepNext w:val="false"/>
        <w:keepLines w:val="false"/>
        <w:spacing w:before="0" w:after="0"/>
        <w:rPr>
          <w:color w:val="000000"/>
        </w:rPr>
      </w:pPr>
      <w:r>
        <w:rPr>
          <w:rFonts w:hint="eastAsia"/>
          <w:color w:val="000000"/>
        </w:rPr>
        <w:t>二、用药要求</w:t>
      </w:r>
      <w:bookmarkEnd w:id="15"/>
    </w:p>
    <w:p>
      <w:pPr>
        <w:pStyle w:val="style0"/>
        <w:numPr>
          <w:ilvl w:val="0"/>
          <w:numId w:val="1"/>
        </w:numPr>
        <w:tabs>
          <w:tab w:val="left" w:leader="none" w:pos="180"/>
          <w:tab w:val="left" w:leader="none" w:pos="1620"/>
        </w:tabs>
        <w:spacing w:lineRule="auto" w:line="360"/>
        <w:ind w:firstLine="420" w:firstLineChars="200"/>
        <w:rPr>
          <w:color w:val="000000"/>
          <w:szCs w:val="21"/>
        </w:rPr>
      </w:pPr>
      <w:r>
        <w:rPr>
          <w:rFonts w:hint="eastAsia"/>
          <w:color w:val="000000"/>
          <w:szCs w:val="21"/>
        </w:rPr>
        <w:t>本项目所服务区域实行</w:t>
      </w:r>
      <w:r>
        <w:rPr>
          <w:color w:val="000000"/>
          <w:szCs w:val="21"/>
        </w:rPr>
        <w:t>包工包料包达标，各</w:t>
      </w:r>
      <w:r>
        <w:rPr>
          <w:rFonts w:hint="eastAsia"/>
          <w:color w:val="000000"/>
          <w:szCs w:val="21"/>
        </w:rPr>
        <w:t>投标供应商</w:t>
      </w:r>
      <w:r>
        <w:rPr>
          <w:color w:val="000000"/>
          <w:szCs w:val="21"/>
        </w:rPr>
        <w:t>选用</w:t>
      </w:r>
      <w:r>
        <w:rPr>
          <w:rFonts w:hint="eastAsia"/>
          <w:color w:val="000000"/>
          <w:szCs w:val="21"/>
        </w:rPr>
        <w:t>的消杀药品必须根据不同的病媒控制对象并结合不同环境类别通过合法途径以高效、低毒、环保、安全、精准投放为原则，杜绝选用低劣（已失效或批次质量不稳定）、非法（法规禁用、来源不明或未经许可自配）、高毒等的卫生杀虫剂及过度用药。</w:t>
      </w:r>
    </w:p>
    <w:p>
      <w:pPr>
        <w:pStyle w:val="style0"/>
        <w:jc w:val="left"/>
        <w:rPr>
          <w:b/>
          <w:bCs/>
          <w:color w:val="000000"/>
          <w:szCs w:val="21"/>
        </w:rPr>
      </w:pPr>
    </w:p>
    <w:p>
      <w:pPr>
        <w:pStyle w:val="style0"/>
        <w:tabs>
          <w:tab w:val="left" w:leader="none" w:pos="180"/>
          <w:tab w:val="left" w:leader="none" w:pos="1620"/>
        </w:tabs>
        <w:spacing w:lineRule="auto" w:line="360"/>
        <w:ind w:firstLine="422" w:firstLineChars="200"/>
        <w:jc w:val="center"/>
        <w:rPr>
          <w:b/>
          <w:bCs/>
          <w:color w:val="000000"/>
          <w:szCs w:val="21"/>
        </w:rPr>
      </w:pPr>
      <w:r>
        <w:rPr>
          <w:rFonts w:hint="eastAsia"/>
          <w:b/>
          <w:bCs/>
          <w:color w:val="000000"/>
          <w:szCs w:val="21"/>
        </w:rPr>
        <w:t>本项目灭鼠灭蟑用药及主要技术参数明细表</w:t>
      </w:r>
    </w:p>
    <w:tbl>
      <w:tblPr>
        <w:tblW w:w="9385" w:type="dxa"/>
        <w:jc w:val="center"/>
        <w:tblLayout w:type="fixed"/>
        <w:tblCellMar>
          <w:top w:w="15" w:type="dxa"/>
          <w:left w:w="15" w:type="dxa"/>
          <w:bottom w:w="15" w:type="dxa"/>
          <w:right w:w="15" w:type="dxa"/>
        </w:tblCellMar>
        <w:tblLook w:val="0000" w:firstRow="0" w:lastRow="0" w:firstColumn="0" w:lastColumn="0" w:noHBand="0" w:noVBand="0"/>
      </w:tblPr>
      <w:tblGrid>
        <w:gridCol w:w="725"/>
        <w:gridCol w:w="3781"/>
        <w:gridCol w:w="4879"/>
      </w:tblGrid>
      <w:tr>
        <w:trPr>
          <w:trHeight w:val="567" w:hRule="atLeast"/>
          <w:jc w:val="center"/>
        </w:trPr>
        <w:tc>
          <w:tcPr>
            <w:tcW w:w="725" w:type="dxa"/>
            <w:tcBorders>
              <w:top w:val="single" w:sz="4" w:space="0" w:color="000000"/>
              <w:left w:val="single" w:sz="4" w:space="0" w:color="000000"/>
              <w:bottom w:val="single" w:sz="4" w:space="0" w:color="000000"/>
              <w:right w:val="single" w:sz="4" w:space="0" w:color="000000"/>
            </w:tcBorders>
            <w:vAlign w:val="center"/>
          </w:tcPr>
          <w:p>
            <w:pPr>
              <w:pStyle w:val="style0"/>
              <w:tabs>
                <w:tab w:val="left" w:leader="none" w:pos="180"/>
                <w:tab w:val="left" w:leader="none" w:pos="1620"/>
              </w:tabs>
              <w:spacing w:lineRule="auto" w:line="360"/>
              <w:rPr>
                <w:b/>
                <w:bCs/>
                <w:color w:val="000000"/>
                <w:szCs w:val="21"/>
              </w:rPr>
            </w:pPr>
            <w:r>
              <w:rPr>
                <w:rFonts w:hint="eastAsia"/>
                <w:b/>
                <w:bCs/>
                <w:color w:val="000000"/>
                <w:szCs w:val="21"/>
              </w:rPr>
              <w:t>序号</w:t>
            </w:r>
          </w:p>
        </w:tc>
        <w:tc>
          <w:tcPr>
            <w:tcW w:w="3781"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b/>
                <w:bCs/>
                <w:color w:val="000000"/>
                <w:szCs w:val="21"/>
              </w:rPr>
            </w:pPr>
            <w:r>
              <w:rPr>
                <w:rFonts w:hint="eastAsia"/>
                <w:b/>
                <w:bCs/>
                <w:color w:val="000000"/>
                <w:szCs w:val="21"/>
              </w:rPr>
              <w:t>主要技术参数（有效成分、含量、剂型）</w:t>
            </w:r>
          </w:p>
        </w:tc>
        <w:tc>
          <w:tcPr>
            <w:tcW w:w="4879"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ind w:firstLine="422" w:firstLineChars="200"/>
              <w:jc w:val="center"/>
              <w:rPr>
                <w:b/>
                <w:bCs/>
                <w:color w:val="000000"/>
                <w:szCs w:val="21"/>
              </w:rPr>
            </w:pPr>
            <w:r>
              <w:rPr>
                <w:rFonts w:hint="eastAsia"/>
                <w:b/>
                <w:bCs/>
                <w:color w:val="000000"/>
                <w:szCs w:val="21"/>
              </w:rPr>
              <w:t>药品用途及类别</w:t>
            </w:r>
          </w:p>
        </w:tc>
      </w:tr>
      <w:tr>
        <w:tblPrEx/>
        <w:trPr>
          <w:trHeight w:val="567" w:hRule="atLeast"/>
          <w:jc w:val="center"/>
        </w:trPr>
        <w:tc>
          <w:tcPr>
            <w:tcW w:w="725" w:type="dxa"/>
            <w:tcBorders>
              <w:top w:val="single" w:sz="4" w:space="0" w:color="000000"/>
              <w:left w:val="single" w:sz="4" w:space="0" w:color="000000"/>
              <w:bottom w:val="single" w:sz="4" w:space="0" w:color="000000"/>
              <w:right w:val="single" w:sz="4" w:space="0" w:color="000000"/>
            </w:tcBorders>
            <w:vAlign w:val="center"/>
          </w:tcPr>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1</w:t>
            </w:r>
          </w:p>
        </w:tc>
        <w:tc>
          <w:tcPr>
            <w:tcW w:w="3781"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吡虫啉</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，杀蟑胶饵。</w:t>
            </w:r>
          </w:p>
        </w:tc>
        <w:tc>
          <w:tcPr>
            <w:tcW w:w="4879"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室内蟑螂杀灭用药（胶饵）</w:t>
            </w:r>
          </w:p>
        </w:tc>
      </w:tr>
      <w:tr>
        <w:tblPrEx/>
        <w:trPr>
          <w:trHeight w:val="567" w:hRule="atLeast"/>
          <w:jc w:val="center"/>
        </w:trPr>
        <w:tc>
          <w:tcPr>
            <w:tcW w:w="725" w:type="dxa"/>
            <w:tcBorders>
              <w:top w:val="single" w:sz="4" w:space="0" w:color="000000"/>
              <w:left w:val="single" w:sz="4" w:space="0" w:color="000000"/>
              <w:bottom w:val="single" w:sz="4" w:space="0" w:color="000000"/>
              <w:right w:val="single" w:sz="4" w:space="0" w:color="000000"/>
            </w:tcBorders>
            <w:vAlign w:val="center"/>
          </w:tcPr>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2</w:t>
            </w:r>
          </w:p>
        </w:tc>
        <w:tc>
          <w:tcPr>
            <w:tcW w:w="3781"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氯</w:t>
            </w:r>
            <w:r>
              <w:rPr>
                <w:rFonts w:hint="eastAsia"/>
                <w:color w:val="000000"/>
                <w:szCs w:val="21"/>
              </w:rPr>
              <w:t>菊</w:t>
            </w:r>
            <w:r>
              <w:rPr>
                <w:rFonts w:hint="eastAsia"/>
                <w:color w:val="000000"/>
                <w:szCs w:val="21"/>
              </w:rPr>
              <w:t>·</w:t>
            </w:r>
            <w:r>
              <w:rPr>
                <w:rFonts w:hint="eastAsia"/>
                <w:color w:val="000000"/>
                <w:szCs w:val="21"/>
              </w:rPr>
              <w:t>烯丙菊酯</w:t>
            </w:r>
            <w:r>
              <w:rPr>
                <w:rFonts w:hint="eastAsia"/>
                <w:color w:val="000000"/>
                <w:szCs w:val="21"/>
              </w:rPr>
              <w:t>≥</w:t>
            </w:r>
            <w:r>
              <w:rPr>
                <w:rFonts w:hint="eastAsia"/>
                <w:color w:val="000000"/>
                <w:szCs w:val="21"/>
              </w:rPr>
              <w:t>16.86</w:t>
            </w:r>
            <w:r>
              <w:rPr>
                <w:rFonts w:hint="eastAsia"/>
                <w:color w:val="000000"/>
                <w:szCs w:val="21"/>
              </w:rPr>
              <w:t>%</w:t>
            </w:r>
            <w:r>
              <w:rPr>
                <w:rFonts w:hint="eastAsia"/>
                <w:color w:val="000000"/>
                <w:szCs w:val="21"/>
              </w:rPr>
              <w:t>，</w:t>
            </w:r>
            <w:r>
              <w:rPr>
                <w:rFonts w:hint="eastAsia"/>
                <w:color w:val="000000"/>
                <w:szCs w:val="21"/>
              </w:rPr>
              <w:t>水乳</w:t>
            </w:r>
            <w:r>
              <w:rPr>
                <w:rFonts w:hint="eastAsia"/>
                <w:color w:val="000000"/>
                <w:szCs w:val="21"/>
              </w:rPr>
              <w:t>剂。</w:t>
            </w:r>
          </w:p>
        </w:tc>
        <w:tc>
          <w:tcPr>
            <w:tcW w:w="4879"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蚊蝇、蟑螂栖息场所用药（悬浮剂）</w:t>
            </w:r>
          </w:p>
        </w:tc>
      </w:tr>
      <w:tr>
        <w:tblPrEx/>
        <w:trPr>
          <w:trHeight w:val="567" w:hRule="atLeast"/>
          <w:jc w:val="center"/>
        </w:trPr>
        <w:tc>
          <w:tcPr>
            <w:tcW w:w="725" w:type="dxa"/>
            <w:tcBorders>
              <w:top w:val="single" w:sz="4" w:space="0" w:color="000000"/>
              <w:left w:val="single" w:sz="4" w:space="0" w:color="000000"/>
              <w:bottom w:val="single" w:sz="4" w:space="0" w:color="000000"/>
              <w:right w:val="single" w:sz="4" w:space="0" w:color="000000"/>
            </w:tcBorders>
            <w:vAlign w:val="center"/>
          </w:tcPr>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3</w:t>
            </w:r>
          </w:p>
        </w:tc>
        <w:tc>
          <w:tcPr>
            <w:tcW w:w="3781"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高效氯氟氰菊酯≥</w:t>
            </w:r>
            <w:r>
              <w:rPr>
                <w:rFonts w:hint="eastAsia"/>
                <w:color w:val="000000"/>
                <w:szCs w:val="21"/>
              </w:rPr>
              <w:t>10%</w:t>
            </w:r>
            <w:r>
              <w:rPr>
                <w:rFonts w:hint="eastAsia"/>
                <w:color w:val="000000"/>
                <w:szCs w:val="21"/>
              </w:rPr>
              <w:t>，微囊</w:t>
            </w:r>
            <w:bookmarkStart w:id="16" w:name="OLE_LINK1"/>
            <w:r>
              <w:rPr>
                <w:rFonts w:hint="eastAsia"/>
                <w:color w:val="000000"/>
                <w:szCs w:val="21"/>
              </w:rPr>
              <w:t>悬浮剂</w:t>
            </w:r>
            <w:bookmarkEnd w:id="16"/>
            <w:r>
              <w:rPr>
                <w:rFonts w:hint="eastAsia"/>
                <w:color w:val="000000"/>
                <w:szCs w:val="21"/>
              </w:rPr>
              <w:t>。</w:t>
            </w:r>
          </w:p>
          <w:bookmarkStart w:id="17" w:name="OLE_LINK2"/>
        </w:tc>
        <w:tc>
          <w:tcPr>
            <w:tcW w:w="4879"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室内蚊蝇、蟑螂杀灭用药</w:t>
            </w:r>
            <w:bookmarkEnd w:id="17"/>
            <w:r>
              <w:rPr>
                <w:rFonts w:hint="eastAsia"/>
                <w:color w:val="000000"/>
                <w:szCs w:val="21"/>
              </w:rPr>
              <w:t>（微囊悬浮剂）</w:t>
            </w:r>
          </w:p>
        </w:tc>
      </w:tr>
      <w:tr>
        <w:tblPrEx/>
        <w:trPr>
          <w:trHeight w:val="567" w:hRule="atLeast"/>
          <w:jc w:val="center"/>
        </w:trPr>
        <w:tc>
          <w:tcPr>
            <w:tcW w:w="725" w:type="dxa"/>
            <w:tcBorders>
              <w:top w:val="single" w:sz="4" w:space="0" w:color="000000"/>
              <w:left w:val="single" w:sz="4" w:space="0" w:color="000000"/>
              <w:bottom w:val="single" w:sz="4" w:space="0" w:color="000000"/>
              <w:right w:val="single" w:sz="4" w:space="0" w:color="000000"/>
            </w:tcBorders>
            <w:vAlign w:val="center"/>
          </w:tcPr>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4</w:t>
            </w:r>
          </w:p>
        </w:tc>
        <w:tc>
          <w:tcPr>
            <w:tcW w:w="3781"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高效氯氰菊酯≥</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热雾剂。</w:t>
            </w:r>
          </w:p>
        </w:tc>
        <w:tc>
          <w:tcPr>
            <w:tcW w:w="4879" w:type="dxa"/>
            <w:tcBorders>
              <w:top w:val="single" w:sz="4" w:space="0" w:color="000000"/>
              <w:left w:val="nil"/>
              <w:bottom w:val="single" w:sz="4" w:space="0" w:color="000000"/>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下水道、化粪池蟑螂等孳生、栖息地用药（热雾剂）</w:t>
            </w:r>
          </w:p>
        </w:tc>
      </w:tr>
      <w:tr>
        <w:tblPrEx/>
        <w:trPr>
          <w:trHeight w:val="127" w:hRule="atLeast"/>
          <w:jc w:val="center"/>
        </w:trPr>
        <w:tc>
          <w:tcPr>
            <w:tcW w:w="725" w:type="dxa"/>
            <w:tcBorders>
              <w:top w:val="single" w:sz="4" w:space="0" w:color="auto"/>
              <w:left w:val="single" w:sz="4" w:space="0" w:color="000000"/>
              <w:bottom w:val="single" w:sz="4" w:space="0" w:color="auto"/>
              <w:right w:val="single" w:sz="4" w:space="0" w:color="000000"/>
            </w:tcBorders>
            <w:vAlign w:val="center"/>
          </w:tcPr>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5</w:t>
            </w:r>
          </w:p>
        </w:tc>
        <w:tc>
          <w:tcPr>
            <w:tcW w:w="3781" w:type="dxa"/>
            <w:tcBorders>
              <w:top w:val="single" w:sz="4" w:space="0" w:color="auto"/>
              <w:left w:val="nil"/>
              <w:bottom w:val="single" w:sz="4" w:space="0" w:color="auto"/>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溴敌隆（</w:t>
            </w:r>
            <w:r>
              <w:rPr>
                <w:rFonts w:hint="eastAsia"/>
                <w:color w:val="000000"/>
                <w:szCs w:val="21"/>
              </w:rPr>
              <w:t>谷类</w:t>
            </w:r>
            <w:r>
              <w:rPr>
                <w:rFonts w:hint="eastAsia"/>
                <w:color w:val="000000"/>
                <w:szCs w:val="21"/>
              </w:rPr>
              <w:t>）≥</w:t>
            </w:r>
            <w:r>
              <w:rPr>
                <w:rFonts w:hint="eastAsia"/>
                <w:color w:val="000000"/>
                <w:szCs w:val="21"/>
              </w:rPr>
              <w:t>0.005%</w:t>
            </w:r>
            <w:r>
              <w:rPr>
                <w:rFonts w:hint="eastAsia"/>
                <w:color w:val="000000"/>
                <w:szCs w:val="21"/>
              </w:rPr>
              <w:t>，饵剂。</w:t>
            </w:r>
          </w:p>
        </w:tc>
        <w:tc>
          <w:tcPr>
            <w:tcW w:w="4879" w:type="dxa"/>
            <w:tcBorders>
              <w:top w:val="single" w:sz="4" w:space="0" w:color="auto"/>
              <w:left w:val="nil"/>
              <w:bottom w:val="single" w:sz="4" w:space="0" w:color="auto"/>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灭鼠用药（饵剂）</w:t>
            </w:r>
          </w:p>
        </w:tc>
      </w:tr>
      <w:tr>
        <w:tblPrEx/>
        <w:trPr>
          <w:trHeight w:val="127" w:hRule="atLeast"/>
          <w:jc w:val="center"/>
        </w:trPr>
        <w:tc>
          <w:tcPr>
            <w:tcW w:w="725" w:type="dxa"/>
            <w:tcBorders>
              <w:top w:val="single" w:sz="4" w:space="0" w:color="auto"/>
              <w:left w:val="single" w:sz="4" w:space="0" w:color="000000"/>
              <w:bottom w:val="single" w:sz="4" w:space="0" w:color="auto"/>
              <w:right w:val="single" w:sz="4" w:space="0" w:color="000000"/>
            </w:tcBorders>
            <w:vAlign w:val="center"/>
          </w:tcPr>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6</w:t>
            </w:r>
          </w:p>
        </w:tc>
        <w:tc>
          <w:tcPr>
            <w:tcW w:w="3781" w:type="dxa"/>
            <w:tcBorders>
              <w:top w:val="single" w:sz="4" w:space="0" w:color="auto"/>
              <w:left w:val="nil"/>
              <w:bottom w:val="single" w:sz="4" w:space="0" w:color="auto"/>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水泥毒饵站</w:t>
            </w:r>
          </w:p>
        </w:tc>
        <w:tc>
          <w:tcPr>
            <w:tcW w:w="4879" w:type="dxa"/>
            <w:tcBorders>
              <w:top w:val="single" w:sz="4" w:space="0" w:color="auto"/>
              <w:left w:val="nil"/>
              <w:bottom w:val="single" w:sz="4" w:space="0" w:color="auto"/>
              <w:right w:val="single" w:sz="4" w:space="0" w:color="000000"/>
            </w:tcBorders>
            <w:vAlign w:val="center"/>
          </w:tcPr>
          <w:p>
            <w:pPr>
              <w:pStyle w:val="style0"/>
              <w:tabs>
                <w:tab w:val="left" w:leader="none" w:pos="180"/>
                <w:tab w:val="left" w:leader="none" w:pos="1620"/>
              </w:tabs>
              <w:spacing w:lineRule="auto" w:line="360"/>
              <w:rPr>
                <w:color w:val="000000"/>
                <w:szCs w:val="21"/>
              </w:rPr>
            </w:pPr>
            <w:r>
              <w:rPr>
                <w:rFonts w:hint="eastAsia"/>
                <w:color w:val="000000"/>
                <w:szCs w:val="21"/>
              </w:rPr>
              <w:t>4</w:t>
            </w:r>
            <w:r>
              <w:rPr>
                <w:rFonts w:hint="eastAsia"/>
                <w:color w:val="000000"/>
                <w:szCs w:val="21"/>
              </w:rPr>
              <w:t>00</w:t>
            </w:r>
            <w:r>
              <w:rPr>
                <w:rFonts w:hint="eastAsia"/>
                <w:color w:val="000000"/>
                <w:szCs w:val="21"/>
              </w:rPr>
              <w:t>个，用于外环境灭鼠</w:t>
            </w:r>
          </w:p>
        </w:tc>
      </w:tr>
    </w:tbl>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1</w:t>
      </w:r>
      <w:r>
        <w:rPr>
          <w:rFonts w:hint="eastAsia"/>
          <w:color w:val="000000"/>
          <w:szCs w:val="21"/>
        </w:rPr>
        <w:t>、以上所列卫生杀虫剂为本项目要求投标供应商使用的消杀药品类别，投标供应商所选用的药品必须按照以上所列的技术参数来选用，即有效成分、含量、剂型必须符合，否则投标无效。</w:t>
      </w:r>
    </w:p>
    <w:p>
      <w:pPr>
        <w:pStyle w:val="style0"/>
        <w:tabs>
          <w:tab w:val="left" w:leader="none" w:pos="180"/>
          <w:tab w:val="left" w:leader="none" w:pos="1620"/>
        </w:tabs>
        <w:spacing w:lineRule="auto" w:line="360"/>
        <w:ind w:firstLine="420" w:firstLineChars="200"/>
        <w:rPr>
          <w:color w:val="000000"/>
          <w:szCs w:val="21"/>
        </w:rPr>
      </w:pPr>
      <w:r>
        <w:rPr>
          <w:rFonts w:hint="eastAsia"/>
          <w:color w:val="000000"/>
          <w:szCs w:val="21"/>
        </w:rPr>
        <w:t>2</w:t>
      </w:r>
      <w:r>
        <w:rPr>
          <w:rFonts w:hint="eastAsia"/>
          <w:color w:val="000000"/>
          <w:szCs w:val="21"/>
        </w:rPr>
        <w:t>、根据国家对农药的有关管理规定，为了保证药品的质量及来源合法，投标时投标供应商的响应文件中必须出具由选用的药品制造商提供的加盖有制造商公章、有效“三证”（农药登记证、农药生产批准证书、技术监督部门备案的企业标准）复印件加盖有制造商公章及针对本项目的产品质量承诺书原件，否则投标无效。</w:t>
      </w:r>
    </w:p>
    <w:p>
      <w:pPr>
        <w:pStyle w:val="style90"/>
        <w:spacing w:lineRule="auto" w:line="360"/>
        <w:rPr>
          <w:rFonts w:cs="宋体" w:hAnsi="宋体"/>
          <w:b/>
          <w:color w:val="000000"/>
        </w:rPr>
      </w:pPr>
      <w:r>
        <w:rPr>
          <w:rFonts w:hint="eastAsia"/>
          <w:color w:val="000000"/>
        </w:rPr>
        <w:t xml:space="preserve">    3、杜绝使用来源不明无“三证”或质量不稳定的卫生杀虫剂，确保灭效和人畜等各项安全，符合绿色环保的有关要求。</w:t>
      </w:r>
    </w:p>
    <w:bookmarkStart w:id="18" w:name="_Toc509241979"/>
    <w:p>
      <w:pPr>
        <w:pStyle w:val="style2"/>
        <w:keepNext w:val="false"/>
        <w:keepLines w:val="false"/>
        <w:spacing w:before="0" w:after="0"/>
        <w:rPr/>
      </w:pPr>
      <w:r>
        <w:rPr>
          <w:rFonts w:hint="eastAsia"/>
        </w:rPr>
        <w:t>三、</w:t>
      </w:r>
      <w:r>
        <w:rPr>
          <w:rFonts w:hint="eastAsia"/>
        </w:rPr>
        <w:t>工作要求</w:t>
      </w:r>
      <w:bookmarkEnd w:id="18"/>
    </w:p>
    <w:p>
      <w:pPr>
        <w:pStyle w:val="style0"/>
        <w:spacing w:lineRule="auto" w:line="360"/>
        <w:ind w:firstLine="420" w:firstLineChars="200"/>
        <w:rPr>
          <w:rFonts w:ascii="宋体" w:cs="宋体" w:hAnsi="宋体"/>
          <w:szCs w:val="21"/>
        </w:rPr>
      </w:pPr>
      <w:r>
        <w:rPr>
          <w:rFonts w:ascii="宋体" w:cs="宋体" w:hAnsi="宋体" w:hint="eastAsia"/>
          <w:szCs w:val="21"/>
        </w:rPr>
        <w:t>（一）必须确防治区域内“四害”达标（广西卫生城标准），由甲乙双方共同评估。</w:t>
      </w:r>
    </w:p>
    <w:p>
      <w:pPr>
        <w:pStyle w:val="style0"/>
        <w:spacing w:lineRule="auto" w:line="360"/>
        <w:ind w:firstLine="420" w:firstLineChars="200"/>
        <w:rPr>
          <w:rFonts w:ascii="宋体" w:cs="宋体" w:hAnsi="宋体"/>
          <w:szCs w:val="21"/>
        </w:rPr>
      </w:pPr>
      <w:r>
        <w:rPr>
          <w:rFonts w:ascii="宋体" w:cs="宋体" w:hAnsi="宋体" w:hint="eastAsia"/>
          <w:szCs w:val="21"/>
        </w:rPr>
        <w:t>（二）投标供应商必须保证“四害”药械的安全使用，所使用的药械必须符合国家规定，不得使用国家禁止使用的药械。</w:t>
      </w:r>
    </w:p>
    <w:p>
      <w:pPr>
        <w:pStyle w:val="style0"/>
        <w:spacing w:lineRule="auto" w:line="360"/>
        <w:ind w:firstLine="420" w:firstLineChars="200"/>
        <w:rPr>
          <w:rFonts w:ascii="宋体" w:cs="宋体" w:hAnsi="宋体"/>
          <w:szCs w:val="21"/>
        </w:rPr>
      </w:pPr>
      <w:r>
        <w:rPr>
          <w:rFonts w:ascii="宋体" w:cs="宋体" w:hAnsi="宋体" w:hint="eastAsia"/>
          <w:szCs w:val="21"/>
        </w:rPr>
        <w:t>（三）提供“四害”技术培训。</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（四）负责投药前后“四害”密度监测，并提供密度监测报告</w:t>
      </w:r>
      <w:r>
        <w:rPr>
          <w:rFonts w:ascii="宋体" w:cs="宋体" w:hAnsi="宋体" w:hint="eastAsia"/>
          <w:color w:val="000000"/>
          <w:szCs w:val="21"/>
        </w:rPr>
        <w:t>，并协助采购方制作创卫相关的</w:t>
      </w:r>
      <w:r>
        <w:rPr>
          <w:rFonts w:ascii="宋体" w:cs="宋体" w:hAnsi="宋体" w:hint="eastAsia"/>
          <w:color w:val="000000"/>
          <w:szCs w:val="21"/>
        </w:rPr>
        <w:t>文书资料</w:t>
      </w:r>
      <w:r>
        <w:rPr>
          <w:rFonts w:ascii="宋体" w:cs="宋体" w:hAnsi="宋体" w:hint="eastAsia"/>
          <w:color w:val="000000"/>
          <w:szCs w:val="21"/>
        </w:rPr>
        <w:t>。</w:t>
      </w:r>
    </w:p>
    <w:p>
      <w:pPr>
        <w:pStyle w:val="style0"/>
        <w:tabs>
          <w:tab w:val="left" w:leader="none" w:pos="900"/>
        </w:tabs>
        <w:spacing w:lineRule="auto" w:line="360"/>
        <w:ind w:firstLine="420" w:firstLineChars="200"/>
        <w:rPr>
          <w:rFonts w:ascii="宋体" w:cs="宋体" w:hAnsi="宋体"/>
          <w:color w:val="000000"/>
          <w:szCs w:val="21"/>
        </w:rPr>
      </w:pPr>
      <w:r>
        <w:rPr>
          <w:rFonts w:ascii="宋体" w:cs="宋体" w:hAnsi="宋体" w:hint="eastAsia"/>
          <w:color w:val="000000"/>
          <w:szCs w:val="21"/>
        </w:rPr>
        <w:t>（五）灭鼠后的鼠迹（死鼠、鼠洞）由成交人负责清理</w:t>
      </w:r>
      <w:r>
        <w:rPr>
          <w:rFonts w:ascii="宋体" w:cs="宋体" w:hAnsi="宋体" w:hint="eastAsia"/>
          <w:color w:val="000000"/>
          <w:szCs w:val="21"/>
        </w:rPr>
        <w:t>。</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（六）在投放鼠药的范围内设置警示标志。</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（七）施工人员在防治害虫作业期间不影响正常生活。</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（八）施工人员必须持证上岗，穿着公司统一制服，并佩戴工作牌。</w:t>
      </w:r>
    </w:p>
    <w:bookmarkStart w:id="19" w:name="_Toc509241980"/>
    <w:p>
      <w:pPr>
        <w:pStyle w:val="style2"/>
        <w:keepNext w:val="false"/>
        <w:keepLines w:val="false"/>
        <w:spacing w:before="0" w:after="0"/>
        <w:rPr>
          <w:color w:val="000000"/>
        </w:rPr>
      </w:pPr>
      <w:r>
        <w:rPr>
          <w:rFonts w:hint="eastAsia"/>
          <w:color w:val="000000"/>
        </w:rPr>
        <w:t>四、技术要求</w:t>
      </w:r>
      <w:bookmarkEnd w:id="19"/>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（一）投标供应商须提供可行的消杀技术方案和实施方案。（加盖公章，必须提交，否则投标无效。）</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（二）投标供应商的技术负责人应具有《有害生物防制员》从业资格证书， 2017年8月至今的技术负责人的“社会保险基金专用收款收据”。（提供复印件并加盖公章，必须提交，否则投标无效。）</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（三）药械具体的数量，符合</w:t>
      </w:r>
      <w:r>
        <w:rPr>
          <w:rFonts w:ascii="宋体" w:cs="宋体" w:hAnsi="宋体" w:hint="eastAsia"/>
          <w:color w:val="000000"/>
          <w:szCs w:val="21"/>
        </w:rPr>
        <w:t>柳州</w:t>
      </w:r>
      <w:r>
        <w:rPr>
          <w:rFonts w:ascii="宋体" w:cs="宋体" w:hAnsi="宋体" w:hint="eastAsia"/>
          <w:color w:val="000000"/>
          <w:szCs w:val="21"/>
        </w:rPr>
        <w:t>市</w:t>
      </w:r>
      <w:r>
        <w:rPr>
          <w:rFonts w:ascii="宋体" w:cs="宋体" w:hAnsi="宋体" w:hint="eastAsia"/>
          <w:color w:val="000000"/>
          <w:szCs w:val="21"/>
        </w:rPr>
        <w:t>中医医院</w:t>
      </w:r>
      <w:r>
        <w:rPr>
          <w:rFonts w:ascii="宋体" w:cs="宋体" w:hAnsi="宋体" w:hint="eastAsia"/>
          <w:color w:val="000000"/>
          <w:szCs w:val="21"/>
        </w:rPr>
        <w:t>实际需要，并完成消杀服务区域内的五小行业“四害”达标等工作。</w:t>
      </w:r>
    </w:p>
    <w:bookmarkStart w:id="20" w:name="_Toc509241981"/>
    <w:p>
      <w:pPr>
        <w:pStyle w:val="style2"/>
        <w:keepNext w:val="false"/>
        <w:keepLines w:val="false"/>
        <w:spacing w:before="0" w:after="0"/>
        <w:rPr>
          <w:color w:val="000000"/>
        </w:rPr>
      </w:pPr>
      <w:r>
        <w:rPr>
          <w:rFonts w:hint="eastAsia"/>
          <w:color w:val="000000"/>
        </w:rPr>
        <w:t>五、售后服务</w:t>
      </w:r>
      <w:bookmarkEnd w:id="20"/>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1.消杀服务采购所需货物按国家有关规定实行“三包”，免费送货上门。</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2.确定中标结果后，成交供应商领取</w:t>
      </w:r>
      <w:bookmarkStart w:id="21" w:name="OLE_LINK12"/>
      <w:r>
        <w:rPr>
          <w:rFonts w:ascii="宋体" w:cs="宋体" w:hAnsi="宋体" w:hint="eastAsia"/>
          <w:color w:val="000000"/>
          <w:szCs w:val="21"/>
        </w:rPr>
        <w:t>中标</w:t>
      </w:r>
      <w:bookmarkEnd w:id="21"/>
      <w:r>
        <w:rPr>
          <w:rFonts w:ascii="宋体" w:cs="宋体" w:hAnsi="宋体" w:hint="eastAsia"/>
          <w:color w:val="000000"/>
          <w:szCs w:val="21"/>
        </w:rPr>
        <w:t>通知书后五天内应与采购人签订专业消杀服务合同。</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3.提供服务时间：</w:t>
      </w:r>
      <w:bookmarkStart w:id="22" w:name="OLE_LINK11"/>
      <w:r>
        <w:rPr>
          <w:rFonts w:ascii="宋体" w:cs="宋体" w:hAnsi="宋体" w:hint="eastAsia"/>
          <w:color w:val="000000"/>
          <w:szCs w:val="21"/>
        </w:rPr>
        <w:t>签订合同之日起</w:t>
      </w:r>
      <w:bookmarkEnd w:id="22"/>
      <w:r>
        <w:rPr>
          <w:rFonts w:ascii="宋体" w:cs="宋体" w:hAnsi="宋体" w:hint="eastAsia"/>
          <w:color w:val="000000"/>
          <w:szCs w:val="21"/>
        </w:rPr>
        <w:t>7日内开始提供服务。</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4.服务期限：成交供应商应在签订合同之日起至一年内日内针对防治范围进行消杀服务。成交供应商在服务过程中由</w:t>
      </w:r>
      <w:r>
        <w:rPr>
          <w:rFonts w:ascii="宋体" w:cs="宋体" w:hAnsi="宋体" w:hint="eastAsia"/>
          <w:color w:val="000000"/>
          <w:szCs w:val="21"/>
        </w:rPr>
        <w:t>业主</w:t>
      </w:r>
      <w:r>
        <w:rPr>
          <w:rFonts w:ascii="宋体" w:cs="宋体" w:hAnsi="宋体" w:hint="eastAsia"/>
          <w:color w:val="000000"/>
          <w:szCs w:val="21"/>
        </w:rPr>
        <w:t>委派人员全程监督。</w:t>
      </w:r>
    </w:p>
    <w:p>
      <w:pPr>
        <w:pStyle w:val="style0"/>
        <w:spacing w:lineRule="auto" w:line="360"/>
        <w:ind w:firstLine="420" w:firstLineChars="200"/>
        <w:rPr>
          <w:rFonts w:ascii="宋体" w:cs="宋体" w:hAnsi="宋体"/>
          <w:color w:val="000000"/>
          <w:szCs w:val="21"/>
        </w:rPr>
      </w:pPr>
      <w:r>
        <w:rPr>
          <w:rFonts w:ascii="宋体" w:cs="宋体" w:hAnsi="宋体" w:hint="eastAsia"/>
          <w:color w:val="000000"/>
          <w:szCs w:val="21"/>
        </w:rPr>
        <w:t>5.服务次数：详见《</w:t>
      </w:r>
      <w:r>
        <w:rPr>
          <w:rFonts w:ascii="宋体" w:cs="宋体" w:hAnsi="宋体" w:hint="eastAsia"/>
          <w:bCs/>
          <w:color w:val="000000"/>
          <w:szCs w:val="21"/>
        </w:rPr>
        <w:t>防治范围明细一览表》</w:t>
      </w:r>
    </w:p>
    <w:p>
      <w:pPr>
        <w:pStyle w:val="style0"/>
        <w:spacing w:lineRule="auto" w:line="360"/>
        <w:ind w:firstLine="420" w:firstLineChars="200"/>
        <w:rPr>
          <w:rFonts w:ascii="宋体" w:cs="宋体" w:hAnsi="宋体"/>
          <w:color w:val="000000"/>
          <w:szCs w:val="21"/>
        </w:rPr>
      </w:pPr>
    </w:p>
    <w:p>
      <w:pPr>
        <w:pStyle w:val="style0"/>
        <w:spacing w:lineRule="auto" w:line="360"/>
        <w:rPr>
          <w:rFonts w:ascii="宋体" w:cs="宋体" w:hAnsi="宋体"/>
          <w:b/>
          <w:bCs/>
          <w:color w:val="000000"/>
          <w:kern w:val="0"/>
          <w:szCs w:val="21"/>
        </w:rPr>
      </w:pPr>
      <w:r>
        <w:rPr>
          <w:rFonts w:ascii="宋体" w:hAnsi="宋体"/>
          <w:color w:val="000000"/>
          <w:szCs w:val="21"/>
        </w:rPr>
        <w:br w:type="page"/>
      </w:r>
    </w:p>
    <w:bookmarkStart w:id="23" w:name="_Toc509241982"/>
    <w:p>
      <w:pPr>
        <w:pStyle w:val="style1"/>
        <w:rPr/>
      </w:pPr>
      <w:r>
        <w:rPr>
          <w:rFonts w:hint="eastAsia"/>
        </w:rPr>
        <w:t>第四章</w:t>
      </w:r>
      <w:r>
        <w:rPr>
          <w:rFonts w:hint="eastAsia"/>
        </w:rPr>
        <w:t xml:space="preserve">  </w:t>
      </w:r>
      <w:r>
        <w:rPr>
          <w:rFonts w:hint="eastAsia"/>
        </w:rPr>
        <w:t>评</w:t>
      </w:r>
      <w:r>
        <w:rPr>
          <w:rFonts w:hint="eastAsia"/>
        </w:rPr>
        <w:t>选</w:t>
      </w:r>
      <w:bookmarkEnd w:id="23"/>
      <w:r>
        <w:rPr>
          <w:rFonts w:hint="eastAsia"/>
        </w:rPr>
        <w:t>办法</w:t>
      </w:r>
    </w:p>
    <w:bookmarkStart w:id="24" w:name="_Toc509241983"/>
    <w:p>
      <w:pPr>
        <w:pStyle w:val="style2"/>
        <w:spacing w:before="0" w:after="0" w:lineRule="auto" w:line="360"/>
        <w:rPr>
          <w:rFonts w:ascii="宋体" w:hAnsi="宋体"/>
          <w:sz w:val="21"/>
          <w:szCs w:val="21"/>
        </w:rPr>
      </w:pPr>
      <w:r>
        <w:rPr>
          <w:rFonts w:hint="eastAsia"/>
          <w:sz w:val="21"/>
          <w:szCs w:val="21"/>
        </w:rPr>
        <w:t>一、</w:t>
      </w:r>
      <w:bookmarkEnd w:id="24"/>
      <w:r>
        <w:rPr>
          <w:rFonts w:ascii="宋体" w:hAnsi="宋体" w:hint="eastAsia"/>
          <w:sz w:val="21"/>
          <w:szCs w:val="21"/>
        </w:rPr>
        <w:t xml:space="preserve"> </w:t>
      </w:r>
      <w:r>
        <w:rPr>
          <w:rFonts w:ascii="宋体" w:hAnsi="宋体" w:hint="eastAsia"/>
          <w:sz w:val="21"/>
          <w:szCs w:val="21"/>
        </w:rPr>
        <w:t>项目采购议价</w:t>
      </w:r>
      <w:r>
        <w:rPr>
          <w:rFonts w:ascii="宋体" w:hAnsi="宋体" w:hint="eastAsia"/>
          <w:sz w:val="21"/>
          <w:szCs w:val="21"/>
        </w:rPr>
        <w:t>小组成员组成：</w:t>
      </w:r>
      <w:r>
        <w:rPr>
          <w:rFonts w:ascii="宋体" w:hAnsi="宋体" w:hint="eastAsia"/>
          <w:b w:val="false"/>
          <w:sz w:val="21"/>
          <w:szCs w:val="21"/>
        </w:rPr>
        <w:t>本项目采购议价</w:t>
      </w:r>
      <w:r>
        <w:rPr>
          <w:rFonts w:ascii="宋体" w:hAnsi="宋体" w:hint="eastAsia"/>
          <w:b w:val="false"/>
          <w:sz w:val="21"/>
          <w:szCs w:val="21"/>
        </w:rPr>
        <w:t>小组由评审专家3人单数以上组成。</w:t>
      </w:r>
    </w:p>
    <w:p>
      <w:pPr>
        <w:pStyle w:val="style2"/>
        <w:spacing w:before="0" w:after="0" w:lineRule="auto" w:line="360"/>
        <w:rPr>
          <w:rFonts w:ascii="宋体" w:hAnsi="宋体"/>
          <w:b w:val="false"/>
          <w:sz w:val="21"/>
          <w:szCs w:val="21"/>
        </w:rPr>
      </w:pPr>
      <w:r>
        <w:rPr>
          <w:rFonts w:ascii="宋体" w:hAnsi="宋体" w:hint="eastAsia"/>
          <w:sz w:val="21"/>
          <w:szCs w:val="21"/>
        </w:rPr>
        <w:t>二、</w:t>
      </w:r>
      <w:r>
        <w:rPr>
          <w:rFonts w:ascii="宋体" w:hAnsi="宋体" w:hint="eastAsia"/>
          <w:sz w:val="21"/>
          <w:szCs w:val="21"/>
        </w:rPr>
        <w:t>评审依据：</w:t>
      </w:r>
      <w:r>
        <w:rPr>
          <w:rFonts w:ascii="宋体" w:hAnsi="宋体" w:hint="eastAsia"/>
          <w:b w:val="false"/>
          <w:sz w:val="21"/>
          <w:szCs w:val="21"/>
        </w:rPr>
        <w:t>议价采购小组以投标文件、</w:t>
      </w:r>
      <w:r>
        <w:rPr>
          <w:rFonts w:ascii="宋体" w:hAnsi="宋体" w:hint="eastAsia"/>
          <w:b w:val="false"/>
          <w:sz w:val="21"/>
          <w:szCs w:val="21"/>
        </w:rPr>
        <w:t>投标响应</w:t>
      </w:r>
      <w:r>
        <w:rPr>
          <w:rFonts w:ascii="宋体" w:hAnsi="宋体" w:hint="eastAsia"/>
          <w:b w:val="false"/>
          <w:sz w:val="21"/>
          <w:szCs w:val="21"/>
        </w:rPr>
        <w:t>文件</w:t>
      </w:r>
      <w:r>
        <w:rPr>
          <w:rFonts w:ascii="宋体" w:hAnsi="宋体" w:hint="eastAsia"/>
          <w:b w:val="false"/>
          <w:sz w:val="21"/>
          <w:szCs w:val="21"/>
        </w:rPr>
        <w:t>以及现场议价谈判结果</w:t>
      </w:r>
      <w:r>
        <w:rPr>
          <w:rFonts w:ascii="宋体" w:hAnsi="宋体" w:hint="eastAsia"/>
          <w:b w:val="false"/>
          <w:sz w:val="21"/>
          <w:szCs w:val="21"/>
        </w:rPr>
        <w:t>为依据，对投标供应商进行综合评价</w:t>
      </w:r>
      <w:r>
        <w:rPr>
          <w:rFonts w:ascii="宋体" w:hAnsi="宋体" w:hint="eastAsia"/>
          <w:b w:val="false"/>
          <w:sz w:val="21"/>
          <w:szCs w:val="21"/>
        </w:rPr>
        <w:t>。</w:t>
      </w:r>
    </w:p>
    <w:p>
      <w:pPr>
        <w:pStyle w:val="style2"/>
        <w:spacing w:before="0" w:after="0" w:lineRule="auto" w:line="360"/>
        <w:rPr>
          <w:rFonts w:ascii="宋体" w:hAnsi="宋体"/>
          <w:sz w:val="21"/>
          <w:szCs w:val="21"/>
        </w:rPr>
      </w:pPr>
      <w:r>
        <w:rPr>
          <w:rFonts w:ascii="宋体" w:hAnsi="宋体" w:hint="eastAsia"/>
          <w:szCs w:val="21"/>
        </w:rPr>
        <w:t>三、</w:t>
      </w:r>
      <w:r>
        <w:rPr>
          <w:rFonts w:ascii="宋体" w:hAnsi="宋体" w:hint="eastAsia"/>
          <w:sz w:val="21"/>
          <w:szCs w:val="21"/>
        </w:rPr>
        <w:t>评</w:t>
      </w:r>
      <w:r>
        <w:rPr>
          <w:rFonts w:ascii="宋体" w:hAnsi="宋体" w:hint="eastAsia"/>
          <w:sz w:val="21"/>
          <w:szCs w:val="21"/>
        </w:rPr>
        <w:t>选</w:t>
      </w:r>
      <w:r>
        <w:rPr>
          <w:rFonts w:ascii="宋体" w:hAnsi="宋体" w:hint="eastAsia"/>
          <w:sz w:val="21"/>
          <w:szCs w:val="21"/>
        </w:rPr>
        <w:t>方法</w:t>
      </w:r>
      <w:r>
        <w:rPr>
          <w:rFonts w:ascii="宋体" w:hAnsi="宋体" w:hint="eastAsia"/>
          <w:sz w:val="21"/>
          <w:szCs w:val="21"/>
        </w:rPr>
        <w:t>：</w:t>
      </w:r>
      <w:r>
        <w:rPr>
          <w:rFonts w:ascii="宋体" w:eastAsia="宋体" w:hAnsi="宋体" w:hint="eastAsia"/>
          <w:b w:val="false"/>
          <w:sz w:val="21"/>
          <w:szCs w:val="21"/>
        </w:rPr>
        <w:t>项目报价、信誉业绩、防制技术、突发事件响应能力、安全环境保障措施</w:t>
      </w:r>
      <w:r>
        <w:rPr>
          <w:rFonts w:ascii="宋体" w:hAnsi="宋体" w:hint="eastAsia"/>
          <w:b w:val="false"/>
          <w:sz w:val="21"/>
          <w:szCs w:val="21"/>
        </w:rPr>
        <w:t>等内容进行</w:t>
      </w:r>
      <w:r>
        <w:rPr>
          <w:rFonts w:ascii="宋体" w:hAnsi="宋体" w:hint="eastAsia"/>
          <w:b w:val="false"/>
          <w:sz w:val="21"/>
          <w:szCs w:val="21"/>
        </w:rPr>
        <w:t>综合评价，选出服务规范、技术</w:t>
      </w:r>
      <w:r>
        <w:rPr>
          <w:rFonts w:ascii="宋体" w:hAnsi="宋体" w:hint="eastAsia"/>
          <w:b w:val="false"/>
          <w:sz w:val="21"/>
          <w:szCs w:val="21"/>
        </w:rPr>
        <w:t>可靠</w:t>
      </w:r>
      <w:r>
        <w:rPr>
          <w:rFonts w:ascii="宋体" w:hAnsi="宋体" w:hint="eastAsia"/>
          <w:b w:val="false"/>
          <w:sz w:val="21"/>
          <w:szCs w:val="21"/>
        </w:rPr>
        <w:t>、经验丰富、</w:t>
      </w:r>
      <w:r>
        <w:rPr>
          <w:rFonts w:ascii="宋体" w:hAnsi="宋体" w:hint="eastAsia"/>
          <w:b w:val="false"/>
          <w:sz w:val="21"/>
          <w:szCs w:val="21"/>
        </w:rPr>
        <w:t>突发事件有高响应能力的供应商</w:t>
      </w:r>
      <w:r>
        <w:rPr>
          <w:rFonts w:ascii="宋体" w:hAnsi="宋体" w:hint="eastAsia"/>
          <w:b w:val="false"/>
          <w:sz w:val="21"/>
          <w:szCs w:val="21"/>
        </w:rPr>
        <w:t>作为本项目的采购供应商</w:t>
      </w:r>
      <w:r>
        <w:rPr>
          <w:rFonts w:ascii="宋体" w:hAnsi="宋体" w:hint="eastAsia"/>
          <w:b w:val="false"/>
          <w:sz w:val="21"/>
          <w:szCs w:val="21"/>
        </w:rPr>
        <w:t xml:space="preserve">。  </w:t>
      </w:r>
    </w:p>
    <w:sectPr>
      <w:pgSz w:w="11906" w:h="16838" w:orient="portrait"/>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Courier New">
    <w:altName w:val="Courier New"/>
    <w:panose1 w:val="02070309020002020404"/>
    <w:charset w:val="00"/>
    <w:family w:val="modern"/>
    <w:pitch w:val="fixed"/>
    <w:sig w:usb0="E0002AFF" w:usb1="C0007843"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Arial Unicode MS">
    <w:altName w:val="Arial Unicode MS"/>
    <w:panose1 w:val="020b0604020002020204"/>
    <w:charset w:val="00"/>
    <w:family w:val="roman"/>
    <w:pitch w:val="variable"/>
    <w:sig w:usb0="000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仿宋_GB2312">
    <w:altName w:val="仿宋"/>
    <w:panose1 w:val="00000000000000000000"/>
    <w:charset w:val="86"/>
    <w:family w:val="modern"/>
    <w:pitch w:val="default"/>
    <w:sig w:usb0="00000001" w:usb1="080E0000" w:usb2="00000010" w:usb3="00000000" w:csb0="0004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lang w:val="zh-CN"/>
      </w:rPr>
      <w:t>10</w:t>
    </w:r>
    <w:r>
      <w:rPr/>
      <w:fldChar w:fldCharType="end"/>
    </w:r>
  </w:p>
  <w:p>
    <w:pPr>
      <w:pStyle w:val="style32"/>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p>
    <w:pPr>
      <w:pStyle w:val="style31"/>
      <w:jc w:val="right"/>
      <w:rPr>
        <w:rFonts w:ascii="宋体" w:hAnsi="宋体"/>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C2E14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372B3B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singleLevel"/>
    <w:tmpl w:val="58C11DB2"/>
    <w:lvl w:ilvl="0">
      <w:start w:val="1"/>
      <w:numFmt w:val="decimal"/>
      <w:suff w:val="nothing"/>
      <w:lvlText w:val="%1、"/>
      <w:lvlJc w:val="left"/>
      <w:pPr/>
    </w:lvl>
  </w:abstractNum>
  <w:abstractNum w:abstractNumId="3">
    <w:nsid w:val="00000003"/>
    <w:multiLevelType w:val="singleLevel"/>
    <w:tmpl w:val="59545FFF"/>
    <w:lvl w:ilvl="0">
      <w:start w:val="3"/>
      <w:numFmt w:val="chineseCounting"/>
      <w:suff w:val="nothing"/>
      <w:lvlText w:val="%1、"/>
      <w:lvlJc w:val="left"/>
      <w:pPr/>
    </w:lvl>
  </w:abstractNum>
  <w:abstractNum w:abstractNumId="4">
    <w:nsid w:val="00000004"/>
    <w:multiLevelType w:val="multilevel"/>
    <w:tmpl w:val="710812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Times New Roman" w:cs="Times New Roman" w:eastAsia="宋体" w:hAnsi="Times New Roman"/>
    </w:rPr>
  </w:style>
  <w:style w:type="paragraph" w:styleId="style1">
    <w:name w:val="heading 1"/>
    <w:basedOn w:val="style0"/>
    <w:next w:val="style0"/>
    <w:link w:val="style4109"/>
    <w:qFormat/>
    <w:uiPriority w:val="9"/>
    <w:pPr>
      <w:keepNext/>
      <w:keepLines/>
      <w:spacing w:before="340" w:after="330" w:lineRule="auto" w:line="578"/>
      <w:jc w:val="center"/>
      <w:outlineLvl w:val="0"/>
    </w:pPr>
    <w:rPr>
      <w:b/>
      <w:bCs/>
      <w:kern w:val="44"/>
      <w:sz w:val="44"/>
      <w:szCs w:val="44"/>
    </w:rPr>
  </w:style>
  <w:style w:type="paragraph" w:styleId="style2">
    <w:name w:val="heading 2"/>
    <w:basedOn w:val="style0"/>
    <w:next w:val="style0"/>
    <w:link w:val="style4103"/>
    <w:qFormat/>
    <w:pPr>
      <w:keepNext/>
      <w:keepLines/>
      <w:spacing w:before="260" w:after="260" w:lineRule="auto" w:line="413"/>
      <w:outlineLvl w:val="1"/>
    </w:pPr>
    <w:rPr>
      <w:rFonts w:ascii="Arial" w:eastAsia="宋体" w:hAnsi="Arial"/>
      <w:b/>
      <w:sz w:val="32"/>
      <w:szCs w:val="20"/>
    </w:rPr>
  </w:style>
  <w:style w:type="paragraph" w:styleId="style3">
    <w:name w:val="heading 3"/>
    <w:basedOn w:val="style0"/>
    <w:next w:val="style0"/>
    <w:link w:val="style4111"/>
    <w:qFormat/>
    <w:uiPriority w:val="9"/>
    <w:pPr>
      <w:keepNext/>
      <w:keepLines/>
      <w:spacing w:before="260" w:after="260" w:lineRule="auto" w:line="416"/>
      <w:outlineLvl w:val="2"/>
    </w:pPr>
    <w:rPr>
      <w:b/>
      <w:bCs/>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Char"/>
    <w:next w:val="style4097"/>
    <w:link w:val="style62"/>
    <w:rPr>
      <w:rFonts w:ascii="Arial" w:cs="Arial" w:hAnsi="Arial"/>
      <w:b/>
      <w:bCs/>
      <w:sz w:val="44"/>
      <w:szCs w:val="32"/>
    </w:rPr>
  </w:style>
  <w:style w:type="paragraph" w:styleId="style62">
    <w:name w:val="Title"/>
    <w:basedOn w:val="style0"/>
    <w:next w:val="style62"/>
    <w:link w:val="style4097"/>
    <w:qFormat/>
    <w:pPr>
      <w:spacing w:before="240" w:after="60"/>
      <w:jc w:val="center"/>
      <w:outlineLvl w:val="0"/>
    </w:pPr>
    <w:rPr>
      <w:rFonts w:ascii="Arial" w:cs="Arial" w:eastAsia="宋体" w:hAnsi="Arial"/>
      <w:b/>
      <w:bCs/>
      <w:sz w:val="44"/>
      <w:szCs w:val="32"/>
    </w:rPr>
  </w:style>
  <w:style w:type="character" w:customStyle="1" w:styleId="style4098">
    <w:name w:val="标题 Char1"/>
    <w:basedOn w:val="style65"/>
    <w:next w:val="style4098"/>
    <w:link w:val="style62"/>
    <w:uiPriority w:val="10"/>
    <w:rPr>
      <w:rFonts w:ascii="Cambria" w:cs="宋体" w:eastAsia="宋体" w:hAnsi="Cambria"/>
      <w:b/>
      <w:bCs/>
      <w:sz w:val="32"/>
      <w:szCs w:val="32"/>
    </w:rPr>
  </w:style>
  <w:style w:type="character" w:customStyle="1" w:styleId="style4099">
    <w:name w:val="页脚 Char"/>
    <w:next w:val="style4099"/>
    <w:link w:val="style32"/>
    <w:uiPriority w:val="99"/>
    <w:rPr>
      <w:rFonts w:eastAsia="宋体"/>
      <w:sz w:val="18"/>
    </w:rPr>
  </w:style>
  <w:style w:type="character" w:customStyle="1" w:styleId="style4100">
    <w:name w:val="页眉 Char"/>
    <w:next w:val="style4100"/>
    <w:link w:val="style31"/>
    <w:uiPriority w:val="99"/>
    <w:rPr>
      <w:rFonts w:eastAsia="宋体"/>
      <w:sz w:val="18"/>
    </w:rPr>
  </w:style>
  <w:style w:type="paragraph" w:styleId="style32">
    <w:name w:val="footer"/>
    <w:basedOn w:val="style0"/>
    <w:next w:val="style32"/>
    <w:link w:val="style4099"/>
    <w:uiPriority w:val="99"/>
    <w:pPr>
      <w:tabs>
        <w:tab w:val="center" w:leader="none" w:pos="4153"/>
        <w:tab w:val="right" w:leader="none" w:pos="8306"/>
      </w:tabs>
      <w:snapToGrid w:val="false"/>
      <w:jc w:val="left"/>
    </w:pPr>
    <w:rPr>
      <w:rFonts w:ascii="Calibri" w:cs="宋体" w:hAnsi="Calibri"/>
      <w:sz w:val="18"/>
    </w:rPr>
  </w:style>
  <w:style w:type="character" w:customStyle="1" w:styleId="style4101">
    <w:name w:val="页脚 Char1"/>
    <w:basedOn w:val="style65"/>
    <w:next w:val="style4101"/>
    <w:link w:val="style32"/>
    <w:uiPriority w:val="99"/>
    <w:rPr>
      <w:rFonts w:ascii="Times New Roman" w:cs="Times New Roman" w:eastAsia="宋体" w:hAnsi="Times New Roman"/>
      <w:sz w:val="18"/>
      <w:szCs w:val="18"/>
    </w:rPr>
  </w:style>
  <w:style w:type="paragraph" w:styleId="style31">
    <w:name w:val="header"/>
    <w:basedOn w:val="style0"/>
    <w:next w:val="style31"/>
    <w:link w:val="style4100"/>
    <w:uiPriority w:val="99"/>
    <w:pPr>
      <w:tabs>
        <w:tab w:val="center" w:leader="none" w:pos="4153"/>
        <w:tab w:val="right" w:leader="none" w:pos="8306"/>
      </w:tabs>
      <w:snapToGrid w:val="false"/>
      <w:jc w:val="center"/>
    </w:pPr>
    <w:rPr>
      <w:rFonts w:ascii="Calibri" w:cs="宋体" w:hAnsi="Calibri"/>
      <w:sz w:val="18"/>
    </w:rPr>
  </w:style>
  <w:style w:type="character" w:customStyle="1" w:styleId="style4102">
    <w:name w:val="页眉 Char1"/>
    <w:basedOn w:val="style65"/>
    <w:next w:val="style4102"/>
    <w:link w:val="style31"/>
    <w:uiPriority w:val="99"/>
    <w:rPr>
      <w:rFonts w:ascii="Times New Roman" w:cs="Times New Roman" w:eastAsia="宋体" w:hAnsi="Times New Roman"/>
      <w:sz w:val="18"/>
      <w:szCs w:val="18"/>
    </w:rPr>
  </w:style>
  <w:style w:type="character" w:customStyle="1" w:styleId="style4103">
    <w:name w:val="标题 2 Char"/>
    <w:basedOn w:val="style65"/>
    <w:next w:val="style4103"/>
    <w:link w:val="style2"/>
    <w:rPr>
      <w:rFonts w:ascii="Arial" w:cs="Times New Roman" w:eastAsia="宋体" w:hAnsi="Arial"/>
      <w:b/>
      <w:sz w:val="32"/>
      <w:szCs w:val="20"/>
    </w:rPr>
  </w:style>
  <w:style w:type="character" w:customStyle="1" w:styleId="style4104">
    <w:name w:val="日期 Char"/>
    <w:next w:val="style4104"/>
    <w:link w:val="style76"/>
    <w:rPr>
      <w:rFonts w:ascii="宋体" w:eastAsia="宋体"/>
      <w:snapToGrid w:val="false"/>
      <w:sz w:val="24"/>
    </w:rPr>
  </w:style>
  <w:style w:type="paragraph" w:styleId="style76">
    <w:name w:val="Date"/>
    <w:basedOn w:val="style0"/>
    <w:next w:val="style0"/>
    <w:link w:val="style4104"/>
    <w:pPr>
      <w:ind w:left="100" w:leftChars="2500"/>
    </w:pPr>
    <w:rPr>
      <w:rFonts w:ascii="宋体" w:cs="宋体" w:hAnsi="Calibri"/>
      <w:snapToGrid w:val="false"/>
      <w:sz w:val="24"/>
    </w:rPr>
  </w:style>
  <w:style w:type="character" w:customStyle="1" w:styleId="style4105">
    <w:name w:val="日期 Char1"/>
    <w:basedOn w:val="style65"/>
    <w:next w:val="style4105"/>
    <w:link w:val="style76"/>
    <w:uiPriority w:val="99"/>
    <w:rPr>
      <w:rFonts w:ascii="Times New Roman" w:cs="Times New Roman" w:eastAsia="宋体" w:hAnsi="Times New Roman"/>
    </w:rPr>
  </w:style>
  <w:style w:type="paragraph" w:styleId="style67">
    <w:name w:val="Body Text Indent"/>
    <w:basedOn w:val="style0"/>
    <w:next w:val="style67"/>
    <w:link w:val="style4106"/>
    <w:pPr>
      <w:spacing w:lineRule="exact" w:line="500"/>
      <w:ind w:firstLine="570"/>
    </w:pPr>
    <w:rPr>
      <w:rFonts w:ascii="宋体" w:hAnsi="宋体"/>
      <w:sz w:val="28"/>
      <w:szCs w:val="20"/>
    </w:rPr>
  </w:style>
  <w:style w:type="character" w:customStyle="1" w:styleId="style4106">
    <w:name w:val="正文文本缩进 Char"/>
    <w:basedOn w:val="style65"/>
    <w:next w:val="style4106"/>
    <w:link w:val="style67"/>
    <w:rPr>
      <w:rFonts w:ascii="宋体" w:cs="Times New Roman" w:eastAsia="宋体" w:hAnsi="宋体"/>
      <w:sz w:val="28"/>
      <w:szCs w:val="20"/>
    </w:rPr>
  </w:style>
  <w:style w:type="character" w:customStyle="1" w:styleId="style4107">
    <w:name w:val="纯文本 Char"/>
    <w:next w:val="style4107"/>
    <w:link w:val="style90"/>
    <w:rPr>
      <w:rFonts w:ascii="宋体" w:cs="Courier New" w:hAnsi="Courier New"/>
      <w:szCs w:val="21"/>
    </w:rPr>
  </w:style>
  <w:style w:type="paragraph" w:styleId="style90">
    <w:name w:val="Plain Text"/>
    <w:basedOn w:val="style0"/>
    <w:next w:val="style90"/>
    <w:link w:val="style4107"/>
    <w:qFormat/>
    <w:pPr/>
    <w:rPr>
      <w:rFonts w:ascii="宋体" w:cs="Courier New" w:eastAsia="宋体" w:hAnsi="Courier New"/>
      <w:szCs w:val="21"/>
    </w:rPr>
  </w:style>
  <w:style w:type="character" w:customStyle="1" w:styleId="style4108">
    <w:name w:val="纯文本 Char1"/>
    <w:basedOn w:val="style65"/>
    <w:next w:val="style4108"/>
    <w:link w:val="style90"/>
    <w:uiPriority w:val="99"/>
    <w:rPr>
      <w:rFonts w:ascii="宋体" w:cs="Courier New" w:eastAsia="宋体" w:hAnsi="Courier New"/>
      <w:szCs w:val="21"/>
    </w:rPr>
  </w:style>
  <w:style w:type="character" w:customStyle="1" w:styleId="style4109">
    <w:name w:val="标题 1 Char"/>
    <w:basedOn w:val="style65"/>
    <w:next w:val="style4109"/>
    <w:link w:val="style1"/>
    <w:uiPriority w:val="9"/>
    <w:rPr>
      <w:rFonts w:ascii="Times New Roman" w:cs="Times New Roman" w:eastAsia="宋体" w:hAnsi="Times New Roman"/>
      <w:b/>
      <w:bCs/>
      <w:kern w:val="44"/>
      <w:sz w:val="44"/>
      <w:szCs w:val="44"/>
    </w:rPr>
  </w:style>
  <w:style w:type="paragraph" w:customStyle="1" w:styleId="style4110">
    <w:name w:val="三级"/>
    <w:basedOn w:val="style3"/>
    <w:next w:val="style4110"/>
    <w:pPr>
      <w:spacing w:lineRule="auto" w:line="413"/>
    </w:pPr>
    <w:rPr>
      <w:rFonts w:ascii="宋体" w:hAnsi="宋体"/>
      <w:bCs w:val="false"/>
      <w:sz w:val="24"/>
      <w:szCs w:val="20"/>
    </w:rPr>
  </w:style>
  <w:style w:type="character" w:customStyle="1" w:styleId="style4111">
    <w:name w:val="标题 3 Char"/>
    <w:basedOn w:val="style65"/>
    <w:next w:val="style4111"/>
    <w:link w:val="style3"/>
    <w:uiPriority w:val="9"/>
    <w:rPr>
      <w:rFonts w:ascii="Times New Roman" w:cs="Times New Roman" w:eastAsia="宋体" w:hAnsi="Times New Roman"/>
      <w:b/>
      <w:bCs/>
      <w:sz w:val="32"/>
      <w:szCs w:val="32"/>
    </w:rPr>
  </w:style>
  <w:style w:type="paragraph" w:styleId="style266">
    <w:name w:val="TOC Heading"/>
    <w:basedOn w:val="style1"/>
    <w:next w:val="style0"/>
    <w:qFormat/>
    <w:uiPriority w:val="39"/>
    <w:pPr>
      <w:widowControl/>
      <w:spacing w:before="480" w:after="0" w:lineRule="auto" w:line="276"/>
      <w:jc w:val="left"/>
      <w:outlineLvl w:val="9"/>
    </w:pPr>
    <w:rPr>
      <w:rFonts w:ascii="Cambria" w:cs="宋体" w:eastAsia="宋体" w:hAnsi="Cambria"/>
      <w:color w:val="365f91"/>
      <w:kern w:val="0"/>
      <w:sz w:val="28"/>
      <w:szCs w:val="28"/>
    </w:rPr>
  </w:style>
  <w:style w:type="paragraph" w:styleId="style19">
    <w:name w:val="toc 1"/>
    <w:basedOn w:val="style0"/>
    <w:next w:val="style0"/>
    <w:uiPriority w:val="39"/>
    <w:pPr/>
  </w:style>
  <w:style w:type="paragraph" w:styleId="style20">
    <w:name w:val="toc 2"/>
    <w:basedOn w:val="style0"/>
    <w:next w:val="style0"/>
    <w:uiPriority w:val="39"/>
    <w:pPr>
      <w:ind w:left="420" w:leftChars="200"/>
    </w:pPr>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112"/>
    <w:uiPriority w:val="99"/>
    <w:pPr/>
    <w:rPr>
      <w:sz w:val="18"/>
      <w:szCs w:val="18"/>
    </w:rPr>
  </w:style>
  <w:style w:type="character" w:customStyle="1" w:styleId="style4112">
    <w:name w:val="批注框文本 Char"/>
    <w:basedOn w:val="style65"/>
    <w:next w:val="style4112"/>
    <w:link w:val="style153"/>
    <w:uiPriority w:val="99"/>
    <w:rPr>
      <w:rFonts w:ascii="Times New Roman" w:cs="Times New Roman" w:eastAsia="宋体" w:hAnsi="Times New Roman"/>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DCAB2-3345-4A84-A8EC-D5E85DB3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Words>4419</Words>
  <Pages>10</Pages>
  <Characters>4671</Characters>
  <Application>WPS Office</Application>
  <DocSecurity>0</DocSecurity>
  <Paragraphs>281</Paragraphs>
  <ScaleCrop>false</ScaleCrop>
  <Company>Microsoft</Company>
  <LinksUpToDate>false</LinksUpToDate>
  <CharactersWithSpaces>4781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2018-03-19T07:29:00Z</dcterms:created>
  <dc:creator>LC</dc:creator>
  <lastModifiedBy>HWI-AL00</lastModifiedBy>
  <lastPrinted>2018-05-24T01:28:00Z</lastPrinted>
  <dcterms:modified xsi:type="dcterms:W3CDTF">2018-06-04T06:52:04Z</dcterms:modified>
  <revision>112</revision>
</coreProperties>
</file>

<file path=docProps/custom.xml><?xml version="1.0" encoding="utf-8"?>
<Properties xmlns="http://schemas.openxmlformats.org/officeDocument/2006/custom-properties" xmlns:vt="http://schemas.openxmlformats.org/officeDocument/2006/docPropsVTypes"/>
</file>