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jc w:val="center"/>
        <w:rPr>
          <w:rFonts w:hAnsi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hAnsi="宋体"/>
          <w:b/>
          <w:bCs/>
          <w:color w:val="auto"/>
          <w:sz w:val="32"/>
          <w:szCs w:val="32"/>
          <w:highlight w:val="none"/>
        </w:rPr>
        <w:t>云之龙咨询集团有限公司关于莲花山院区保洁和电梯员服务采购YZLLZ2022-G3-120-LZQT招标公告</w:t>
      </w:r>
    </w:p>
    <w:p>
      <w:pPr>
        <w:keepNext/>
        <w:keepLines/>
        <w:spacing w:line="380" w:lineRule="exact"/>
        <w:ind w:firstLine="420" w:firstLineChars="200"/>
        <w:outlineLvl w:val="1"/>
        <w:rPr>
          <w:rFonts w:hint="eastAsia" w:ascii="宋体" w:hAnsi="宋体"/>
          <w:color w:val="auto"/>
          <w:szCs w:val="21"/>
          <w:highlight w:val="none"/>
        </w:rPr>
      </w:pPr>
      <w:bookmarkStart w:id="0" w:name="_Toc24070"/>
      <w:bookmarkStart w:id="1" w:name="_Toc28359079"/>
      <w:bookmarkStart w:id="2" w:name="_Toc35393790"/>
      <w:bookmarkStart w:id="3" w:name="_Toc28359002"/>
      <w:bookmarkStart w:id="4" w:name="_Toc35393621"/>
      <w:bookmarkStart w:id="5" w:name="_Hlk24379207"/>
      <w:r>
        <w:rPr>
          <w:rFonts w:hint="eastAsia" w:ascii="宋体" w:hAnsi="宋体"/>
          <w:color w:val="auto"/>
          <w:szCs w:val="21"/>
          <w:highlight w:val="none"/>
        </w:rPr>
        <w:t>本招标项目为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莲花山院区保洁和电梯员服务采购</w:t>
      </w:r>
      <w:r>
        <w:rPr>
          <w:rFonts w:hint="eastAsia" w:ascii="宋体" w:hAnsi="宋体"/>
          <w:color w:val="auto"/>
          <w:szCs w:val="21"/>
          <w:highlight w:val="none"/>
        </w:rPr>
        <w:t>，招标人为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柳州市中医医院（柳州市壮医医院）</w:t>
      </w:r>
      <w:r>
        <w:rPr>
          <w:rFonts w:hint="eastAsia" w:ascii="宋体" w:hAnsi="宋体"/>
          <w:color w:val="auto"/>
          <w:szCs w:val="21"/>
          <w:highlight w:val="none"/>
        </w:rPr>
        <w:t>，现对该项目的进行公开招标，欢迎符合条件的投标人前来投标：</w:t>
      </w:r>
      <w:bookmarkEnd w:id="0"/>
    </w:p>
    <w:p>
      <w:pPr>
        <w:keepNext/>
        <w:keepLines/>
        <w:spacing w:line="380" w:lineRule="exact"/>
        <w:outlineLvl w:val="1"/>
        <w:rPr>
          <w:rFonts w:ascii="宋体" w:hAnsi="宋体" w:cs="宋体"/>
          <w:b/>
          <w:color w:val="auto"/>
          <w:szCs w:val="21"/>
          <w:highlight w:val="none"/>
        </w:rPr>
      </w:pPr>
      <w:bookmarkStart w:id="6" w:name="_Toc17210"/>
      <w:r>
        <w:rPr>
          <w:rFonts w:hint="eastAsia" w:ascii="宋体" w:hAnsi="宋体" w:cs="宋体"/>
          <w:b/>
          <w:color w:val="auto"/>
          <w:szCs w:val="21"/>
          <w:highlight w:val="none"/>
        </w:rPr>
        <w:t>一、项目基本情况</w:t>
      </w:r>
      <w:bookmarkEnd w:id="1"/>
      <w:bookmarkEnd w:id="2"/>
      <w:bookmarkEnd w:id="3"/>
      <w:bookmarkEnd w:id="4"/>
      <w:bookmarkEnd w:id="6"/>
    </w:p>
    <w:p>
      <w:pPr>
        <w:spacing w:line="380" w:lineRule="exact"/>
        <w:ind w:firstLine="420" w:firstLineChars="200"/>
        <w:rPr>
          <w:rFonts w:hint="eastAsia" w:ascii="宋体" w:hAnsi="宋体" w:cs="Arial"/>
          <w:bCs/>
          <w:color w:val="auto"/>
          <w:szCs w:val="21"/>
          <w:highlight w:val="none"/>
        </w:rPr>
      </w:pPr>
      <w:r>
        <w:rPr>
          <w:rFonts w:hint="eastAsia" w:ascii="宋体" w:hAnsi="宋体" w:cs="Arial"/>
          <w:bCs/>
          <w:color w:val="auto"/>
          <w:szCs w:val="21"/>
          <w:highlight w:val="none"/>
        </w:rPr>
        <w:t>项目编号：YZLLZ2022-G3-120-LZQT</w:t>
      </w:r>
    </w:p>
    <w:p>
      <w:pPr>
        <w:spacing w:line="380" w:lineRule="exact"/>
        <w:ind w:firstLine="420" w:firstLineChars="200"/>
        <w:rPr>
          <w:rFonts w:hint="eastAsia" w:ascii="宋体" w:hAnsi="宋体" w:cs="Arial"/>
          <w:bCs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项目名称：</w:t>
      </w:r>
      <w:r>
        <w:rPr>
          <w:rFonts w:hint="eastAsia" w:ascii="宋体" w:hAnsi="宋体" w:cs="Arial"/>
          <w:bCs/>
          <w:color w:val="auto"/>
          <w:szCs w:val="21"/>
          <w:highlight w:val="none"/>
        </w:rPr>
        <w:t>莲花山院区保洁和电梯员服务采购</w:t>
      </w:r>
    </w:p>
    <w:p>
      <w:pPr>
        <w:spacing w:line="3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 w:cs="Arial"/>
          <w:bCs/>
          <w:color w:val="auto"/>
          <w:szCs w:val="21"/>
          <w:highlight w:val="none"/>
        </w:rPr>
        <w:t>项目性质：</w:t>
      </w:r>
      <w:r>
        <w:rPr>
          <w:rFonts w:hint="eastAsia" w:ascii="宋体" w:hAnsi="宋体"/>
          <w:color w:val="auto"/>
          <w:szCs w:val="21"/>
          <w:highlight w:val="none"/>
        </w:rPr>
        <w:t>服务类</w:t>
      </w:r>
    </w:p>
    <w:p>
      <w:pPr>
        <w:spacing w:line="38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/>
          <w:color w:val="auto"/>
          <w:highlight w:val="none"/>
        </w:rPr>
        <w:t>资金来源：</w:t>
      </w:r>
      <w:r>
        <w:rPr>
          <w:rFonts w:hint="eastAsia" w:ascii="宋体" w:hAnsi="宋体" w:cs="宋体"/>
          <w:color w:val="auto"/>
          <w:highlight w:val="none"/>
        </w:rPr>
        <w:t>业主自筹，出资比例为100%</w:t>
      </w:r>
    </w:p>
    <w:bookmarkEnd w:id="5"/>
    <w:p>
      <w:pPr>
        <w:spacing w:line="3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采购内容：柳州市中医医院莲花山院区保洁和电梯员服务1项，服务期限：贰年，从合同签订日期算起。如需进一步了解详细内容，详见招标文件。</w:t>
      </w:r>
    </w:p>
    <w:p>
      <w:pPr>
        <w:spacing w:line="3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实施地点：柳州市中医医院（柳州市壮医医院）莲花山院区柳州市招标人指定地点</w:t>
      </w:r>
    </w:p>
    <w:p>
      <w:pPr>
        <w:keepNext/>
        <w:keepLines/>
        <w:spacing w:line="380" w:lineRule="exact"/>
        <w:outlineLvl w:val="1"/>
        <w:rPr>
          <w:rFonts w:ascii="宋体" w:hAnsi="宋体" w:cs="宋体"/>
          <w:b/>
          <w:color w:val="auto"/>
          <w:szCs w:val="21"/>
          <w:highlight w:val="none"/>
        </w:rPr>
      </w:pPr>
      <w:bookmarkStart w:id="7" w:name="_Toc28359003"/>
      <w:bookmarkStart w:id="8" w:name="_Toc28359080"/>
      <w:bookmarkStart w:id="9" w:name="_Toc35393622"/>
      <w:bookmarkStart w:id="10" w:name="_Toc35393791"/>
      <w:bookmarkStart w:id="11" w:name="_Toc6506"/>
      <w:r>
        <w:rPr>
          <w:rFonts w:hint="eastAsia" w:ascii="宋体" w:hAnsi="宋体" w:cs="宋体"/>
          <w:b/>
          <w:color w:val="auto"/>
          <w:szCs w:val="21"/>
          <w:highlight w:val="none"/>
        </w:rPr>
        <w:t>二、投标人的资格要求：</w:t>
      </w:r>
      <w:bookmarkEnd w:id="7"/>
      <w:bookmarkEnd w:id="8"/>
      <w:bookmarkEnd w:id="9"/>
      <w:bookmarkEnd w:id="10"/>
      <w:bookmarkEnd w:id="11"/>
    </w:p>
    <w:p>
      <w:pPr>
        <w:spacing w:line="380" w:lineRule="exact"/>
        <w:ind w:firstLine="420" w:firstLineChars="200"/>
        <w:rPr>
          <w:rFonts w:hint="eastAsia" w:ascii="宋体" w:hAnsi="宋体"/>
          <w:iCs/>
          <w:color w:val="auto"/>
          <w:szCs w:val="21"/>
          <w:highlight w:val="none"/>
        </w:rPr>
      </w:pPr>
      <w:bookmarkStart w:id="12" w:name="_Toc28359081"/>
      <w:bookmarkStart w:id="13" w:name="_Toc28359004"/>
      <w:r>
        <w:rPr>
          <w:rFonts w:hint="eastAsia" w:ascii="宋体" w:hAnsi="宋体"/>
          <w:iCs/>
          <w:color w:val="auto"/>
          <w:szCs w:val="21"/>
          <w:highlight w:val="none"/>
        </w:rPr>
        <w:t>1.</w:t>
      </w:r>
      <w:r>
        <w:rPr>
          <w:rFonts w:hint="eastAsia" w:ascii="宋体" w:hAnsi="宋体"/>
          <w:iCs/>
          <w:color w:val="auto"/>
          <w:highlight w:val="none"/>
        </w:rPr>
        <w:t xml:space="preserve"> </w:t>
      </w:r>
      <w:r>
        <w:rPr>
          <w:rFonts w:hint="eastAsia" w:ascii="宋体" w:hAnsi="宋体"/>
          <w:iCs/>
          <w:color w:val="auto"/>
          <w:szCs w:val="21"/>
          <w:highlight w:val="none"/>
        </w:rPr>
        <w:t>投标人必须是中华人民共和国境内注册（指按国家有关规定要求登记或者注册的），具有</w:t>
      </w:r>
      <w:r>
        <w:rPr>
          <w:rFonts w:hint="eastAsia" w:ascii="宋体" w:hAnsi="宋体"/>
          <w:color w:val="auto"/>
          <w:szCs w:val="21"/>
          <w:highlight w:val="none"/>
        </w:rPr>
        <w:t>法人</w:t>
      </w:r>
      <w:r>
        <w:rPr>
          <w:rFonts w:hint="eastAsia" w:ascii="宋体" w:hAnsi="宋体"/>
          <w:iCs/>
          <w:color w:val="auto"/>
          <w:szCs w:val="21"/>
          <w:highlight w:val="none"/>
        </w:rPr>
        <w:t>资格的投标人；</w:t>
      </w:r>
    </w:p>
    <w:p>
      <w:pPr>
        <w:spacing w:line="380" w:lineRule="exact"/>
        <w:ind w:firstLine="420" w:firstLineChars="200"/>
        <w:rPr>
          <w:rFonts w:hint="eastAsia" w:ascii="宋体" w:hAnsi="宋体"/>
          <w:iCs/>
          <w:color w:val="auto"/>
          <w:szCs w:val="21"/>
          <w:highlight w:val="none"/>
        </w:rPr>
      </w:pPr>
      <w:r>
        <w:rPr>
          <w:rFonts w:hint="eastAsia" w:ascii="宋体" w:hAnsi="宋体"/>
          <w:iCs/>
          <w:color w:val="auto"/>
          <w:szCs w:val="21"/>
          <w:highlight w:val="none"/>
        </w:rPr>
        <w:t>2.投标人开标前3年内无行贿犯罪档案记录、失信被执行人、重大税收违法失信主体、政府采购严重违法失信行为记录名单。</w:t>
      </w:r>
    </w:p>
    <w:p>
      <w:pPr>
        <w:spacing w:line="380" w:lineRule="exact"/>
        <w:ind w:firstLine="420" w:firstLineChars="200"/>
        <w:rPr>
          <w:rFonts w:ascii="宋体" w:hAnsi="宋体"/>
          <w:iCs/>
          <w:color w:val="auto"/>
          <w:szCs w:val="21"/>
          <w:highlight w:val="none"/>
        </w:rPr>
      </w:pPr>
      <w:r>
        <w:rPr>
          <w:rFonts w:hint="eastAsia" w:ascii="宋体" w:hAnsi="宋体"/>
          <w:iCs/>
          <w:color w:val="auto"/>
          <w:szCs w:val="21"/>
          <w:highlight w:val="none"/>
        </w:rPr>
        <w:t>3.本项目不接受联合体投标。</w:t>
      </w:r>
    </w:p>
    <w:p>
      <w:pPr>
        <w:spacing w:line="380" w:lineRule="exact"/>
        <w:ind w:firstLine="420" w:firstLineChars="200"/>
        <w:rPr>
          <w:rFonts w:hint="eastAsia" w:ascii="宋体" w:hAnsi="宋体"/>
          <w:iCs/>
          <w:color w:val="auto"/>
          <w:szCs w:val="21"/>
          <w:highlight w:val="none"/>
        </w:rPr>
      </w:pPr>
      <w:r>
        <w:rPr>
          <w:rFonts w:hint="eastAsia" w:ascii="宋体" w:hAnsi="宋体"/>
          <w:iCs/>
          <w:color w:val="auto"/>
          <w:szCs w:val="21"/>
          <w:highlight w:val="none"/>
        </w:rPr>
        <w:t>4.不接受未购买本招标文件的投标人投标。</w:t>
      </w:r>
    </w:p>
    <w:p>
      <w:pPr>
        <w:spacing w:line="360" w:lineRule="auto"/>
        <w:ind w:firstLine="424" w:firstLineChars="201"/>
        <w:rPr>
          <w:rFonts w:hint="eastAsia" w:hAnsi="宋体"/>
          <w:b/>
          <w:color w:val="auto"/>
          <w:szCs w:val="21"/>
          <w:highlight w:val="none"/>
        </w:rPr>
      </w:pPr>
      <w:bookmarkStart w:id="14" w:name="_Toc35393623"/>
      <w:bookmarkStart w:id="15" w:name="_Toc35393792"/>
      <w:r>
        <w:rPr>
          <w:rFonts w:hint="eastAsia" w:hAnsi="宋体"/>
          <w:b/>
          <w:color w:val="auto"/>
          <w:szCs w:val="21"/>
          <w:highlight w:val="none"/>
        </w:rPr>
        <w:t>特别说明：</w:t>
      </w:r>
    </w:p>
    <w:p>
      <w:pPr>
        <w:spacing w:line="360" w:lineRule="auto"/>
        <w:ind w:firstLine="424" w:firstLineChars="201"/>
        <w:rPr>
          <w:rFonts w:hint="eastAsia" w:hAnsi="宋体"/>
          <w:b/>
          <w:color w:val="auto"/>
          <w:szCs w:val="21"/>
          <w:highlight w:val="none"/>
        </w:rPr>
      </w:pPr>
      <w:r>
        <w:rPr>
          <w:rFonts w:hint="eastAsia" w:hAnsi="宋体"/>
          <w:b/>
          <w:color w:val="auto"/>
          <w:szCs w:val="21"/>
          <w:highlight w:val="none"/>
        </w:rPr>
        <w:t>（1）与采购人存在利害关系可能影响采购公正性的法人、其他组织或者个人，不得参加投标。</w:t>
      </w:r>
    </w:p>
    <w:p>
      <w:pPr>
        <w:spacing w:line="360" w:lineRule="auto"/>
        <w:ind w:firstLine="424" w:firstLineChars="201"/>
        <w:rPr>
          <w:rFonts w:hAnsi="宋体"/>
          <w:b/>
          <w:color w:val="auto"/>
          <w:szCs w:val="21"/>
          <w:highlight w:val="none"/>
        </w:rPr>
      </w:pPr>
      <w:r>
        <w:rPr>
          <w:rFonts w:hint="eastAsia" w:hAnsi="宋体"/>
          <w:b/>
          <w:color w:val="auto"/>
          <w:szCs w:val="21"/>
          <w:highlight w:val="none"/>
        </w:rPr>
        <w:t>（2）单位负责人为同一人或者存在控股、管理关系的不同单位，不得参加同一采购项目投标。</w:t>
      </w:r>
      <w:r>
        <w:rPr>
          <w:rFonts w:hAnsi="宋体"/>
          <w:b/>
          <w:color w:val="auto"/>
          <w:szCs w:val="21"/>
          <w:highlight w:val="none"/>
        </w:rPr>
        <w:t xml:space="preserve"> </w:t>
      </w:r>
    </w:p>
    <w:p>
      <w:pPr>
        <w:keepNext/>
        <w:keepLines/>
        <w:spacing w:line="380" w:lineRule="exact"/>
        <w:outlineLvl w:val="1"/>
        <w:rPr>
          <w:rFonts w:ascii="宋体" w:hAnsi="宋体" w:cs="宋体"/>
          <w:b/>
          <w:color w:val="auto"/>
          <w:szCs w:val="21"/>
          <w:highlight w:val="none"/>
        </w:rPr>
      </w:pPr>
      <w:bookmarkStart w:id="16" w:name="_Toc25084"/>
      <w:r>
        <w:rPr>
          <w:rFonts w:hint="eastAsia" w:ascii="宋体" w:hAnsi="宋体" w:cs="宋体"/>
          <w:b/>
          <w:color w:val="auto"/>
          <w:szCs w:val="21"/>
          <w:highlight w:val="none"/>
        </w:rPr>
        <w:t>三、获取招标文件</w:t>
      </w:r>
      <w:bookmarkEnd w:id="12"/>
      <w:bookmarkEnd w:id="13"/>
      <w:bookmarkEnd w:id="14"/>
      <w:bookmarkEnd w:id="15"/>
      <w:bookmarkEnd w:id="16"/>
    </w:p>
    <w:p>
      <w:pPr>
        <w:snapToGrid w:val="0"/>
        <w:spacing w:line="380" w:lineRule="exact"/>
        <w:ind w:firstLine="420" w:firstLineChars="200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</w:rPr>
        <w:t>1.获取时间：</w:t>
      </w:r>
      <w:r>
        <w:rPr>
          <w:rFonts w:hint="eastAsia" w:ascii="宋体" w:hAnsi="宋体" w:cs="Arial"/>
          <w:color w:val="auto"/>
          <w:szCs w:val="21"/>
          <w:highlight w:val="none"/>
          <w:u w:val="single"/>
        </w:rPr>
        <w:t>2022</w:t>
      </w:r>
      <w:r>
        <w:rPr>
          <w:rFonts w:hint="eastAsia" w:ascii="宋体" w:hAnsi="宋体" w:cs="Arial"/>
          <w:color w:val="auto"/>
          <w:szCs w:val="21"/>
          <w:highlight w:val="none"/>
        </w:rPr>
        <w:t>年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cs="Arial"/>
          <w:color w:val="auto"/>
          <w:szCs w:val="21"/>
          <w:highlight w:val="none"/>
        </w:rPr>
        <w:t>月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Arial"/>
          <w:color w:val="auto"/>
          <w:szCs w:val="21"/>
          <w:highlight w:val="none"/>
        </w:rPr>
        <w:t>日至20</w:t>
      </w:r>
      <w:r>
        <w:rPr>
          <w:rFonts w:hint="eastAsia" w:ascii="宋体" w:hAnsi="宋体" w:cs="Arial"/>
          <w:color w:val="auto"/>
          <w:szCs w:val="21"/>
          <w:highlight w:val="none"/>
          <w:u w:val="single"/>
        </w:rPr>
        <w:t>22</w:t>
      </w:r>
      <w:r>
        <w:rPr>
          <w:rFonts w:hint="eastAsia" w:ascii="宋体" w:hAnsi="宋体" w:cs="Arial"/>
          <w:color w:val="auto"/>
          <w:szCs w:val="21"/>
          <w:highlight w:val="none"/>
        </w:rPr>
        <w:t>年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cs="Arial"/>
          <w:color w:val="auto"/>
          <w:szCs w:val="21"/>
          <w:highlight w:val="none"/>
        </w:rPr>
        <w:t>月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lang w:val="en-US" w:eastAsia="zh-CN"/>
        </w:rPr>
        <w:t>16</w:t>
      </w:r>
      <w:r>
        <w:rPr>
          <w:rFonts w:hint="eastAsia" w:ascii="宋体" w:hAnsi="宋体" w:cs="Arial"/>
          <w:color w:val="auto"/>
          <w:szCs w:val="21"/>
          <w:highlight w:val="none"/>
        </w:rPr>
        <w:t>日，每天上午8时至12时，下午3时至5时（北京时间，法定节假日除外）。</w:t>
      </w:r>
    </w:p>
    <w:p>
      <w:pPr>
        <w:snapToGrid w:val="0"/>
        <w:spacing w:line="380" w:lineRule="exact"/>
        <w:ind w:firstLine="420" w:firstLineChars="200"/>
        <w:rPr>
          <w:rFonts w:hint="eastAsia"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</w:rPr>
        <w:t>2.获取方式：</w:t>
      </w:r>
      <w:r>
        <w:rPr>
          <w:color w:val="auto"/>
          <w:highlight w:val="none"/>
        </w:rPr>
        <w:t>现场获取</w:t>
      </w:r>
    </w:p>
    <w:p>
      <w:pPr>
        <w:snapToGrid w:val="0"/>
        <w:spacing w:line="380" w:lineRule="exact"/>
        <w:ind w:firstLine="420" w:firstLineChars="200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</w:rPr>
        <w:t>3.售价：招标文件每本售价</w:t>
      </w:r>
      <w:r>
        <w:rPr>
          <w:rFonts w:hint="eastAsia" w:ascii="宋体" w:hAnsi="宋体" w:cs="Arial"/>
          <w:color w:val="auto"/>
          <w:szCs w:val="21"/>
          <w:highlight w:val="none"/>
          <w:u w:val="single"/>
        </w:rPr>
        <w:t>300</w:t>
      </w:r>
      <w:r>
        <w:rPr>
          <w:rFonts w:hint="eastAsia" w:ascii="宋体" w:hAnsi="宋体" w:cs="Arial"/>
          <w:color w:val="auto"/>
          <w:szCs w:val="21"/>
          <w:highlight w:val="none"/>
        </w:rPr>
        <w:t>元，</w:t>
      </w:r>
      <w:r>
        <w:rPr>
          <w:rFonts w:hint="eastAsia"/>
          <w:color w:val="auto"/>
          <w:szCs w:val="21"/>
          <w:highlight w:val="none"/>
        </w:rPr>
        <w:t>不代办邮寄，</w:t>
      </w:r>
      <w:r>
        <w:rPr>
          <w:rFonts w:hint="eastAsia" w:ascii="宋体" w:hAnsi="宋体" w:cs="Arial"/>
          <w:color w:val="auto"/>
          <w:szCs w:val="21"/>
          <w:highlight w:val="none"/>
        </w:rPr>
        <w:t>售后不退。</w:t>
      </w:r>
    </w:p>
    <w:p>
      <w:pPr>
        <w:keepNext/>
        <w:keepLines/>
        <w:spacing w:line="380" w:lineRule="exact"/>
        <w:outlineLvl w:val="1"/>
        <w:rPr>
          <w:rFonts w:ascii="宋体" w:hAnsi="宋体" w:cs="宋体"/>
          <w:b/>
          <w:color w:val="auto"/>
          <w:szCs w:val="21"/>
          <w:highlight w:val="none"/>
        </w:rPr>
      </w:pPr>
      <w:bookmarkStart w:id="17" w:name="_Toc28359005"/>
      <w:bookmarkStart w:id="18" w:name="_Toc28359082"/>
      <w:bookmarkStart w:id="19" w:name="_Toc35393793"/>
      <w:bookmarkStart w:id="20" w:name="_Toc35393624"/>
      <w:bookmarkStart w:id="21" w:name="_Toc18696"/>
      <w:r>
        <w:rPr>
          <w:rFonts w:hint="eastAsia" w:ascii="宋体" w:hAnsi="宋体" w:cs="宋体"/>
          <w:b/>
          <w:color w:val="auto"/>
          <w:szCs w:val="21"/>
          <w:highlight w:val="none"/>
        </w:rPr>
        <w:t>四、</w:t>
      </w:r>
      <w:bookmarkEnd w:id="17"/>
      <w:bookmarkEnd w:id="18"/>
      <w:bookmarkEnd w:id="19"/>
      <w:bookmarkEnd w:id="20"/>
      <w:r>
        <w:rPr>
          <w:rFonts w:hint="eastAsia" w:ascii="宋体" w:hAnsi="宋体" w:cs="宋体"/>
          <w:b/>
          <w:color w:val="auto"/>
          <w:szCs w:val="21"/>
          <w:highlight w:val="none"/>
        </w:rPr>
        <w:t>投标截止时间和地点：</w:t>
      </w:r>
      <w:bookmarkEnd w:id="21"/>
    </w:p>
    <w:p>
      <w:pPr>
        <w:spacing w:line="380" w:lineRule="exact"/>
        <w:ind w:firstLine="422" w:firstLineChars="200"/>
        <w:rPr>
          <w:rFonts w:hint="eastAsia" w:ascii="宋体" w:hAnsi="宋体"/>
          <w:b/>
          <w:iCs/>
          <w:color w:val="auto"/>
          <w:szCs w:val="21"/>
          <w:highlight w:val="none"/>
          <w:u w:val="single"/>
        </w:rPr>
      </w:pPr>
      <w:bookmarkStart w:id="22" w:name="_Toc35393625"/>
      <w:bookmarkStart w:id="23" w:name="_Toc28359084"/>
      <w:bookmarkStart w:id="24" w:name="_Toc28359007"/>
      <w:bookmarkStart w:id="25" w:name="_Toc35393794"/>
      <w:r>
        <w:rPr>
          <w:rFonts w:hint="eastAsia" w:ascii="宋体" w:hAnsi="宋体"/>
          <w:b/>
          <w:iCs/>
          <w:color w:val="auto"/>
          <w:szCs w:val="21"/>
          <w:highlight w:val="none"/>
          <w:u w:val="single"/>
        </w:rPr>
        <w:t>（为做好疫情防控工作，递交投标文件的投标人需出具健康码绿码及通信行程卡和</w:t>
      </w:r>
      <w:r>
        <w:rPr>
          <w:rFonts w:hint="eastAsia" w:ascii="宋体" w:hAnsi="宋体"/>
          <w:b/>
          <w:iCs/>
          <w:color w:val="auto"/>
          <w:szCs w:val="21"/>
          <w:highlight w:val="none"/>
          <w:u w:val="single"/>
        </w:rPr>
        <w:t>48小时核酸检测阴性证明</w:t>
      </w:r>
      <w:r>
        <w:rPr>
          <w:rFonts w:hint="eastAsia" w:ascii="宋体" w:hAnsi="宋体"/>
          <w:b/>
          <w:iCs/>
          <w:color w:val="auto"/>
          <w:szCs w:val="21"/>
          <w:highlight w:val="none"/>
          <w:u w:val="single"/>
        </w:rPr>
        <w:t>并正确全程佩戴口罩参加开标会。）</w:t>
      </w:r>
    </w:p>
    <w:p>
      <w:pPr>
        <w:spacing w:line="3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1. 投标文件递交截止时间：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2022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  <w:highlight w:val="none"/>
        </w:rPr>
        <w:t>时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/>
          <w:color w:val="auto"/>
          <w:szCs w:val="21"/>
          <w:highlight w:val="none"/>
        </w:rPr>
        <w:t>分00秒。</w:t>
      </w:r>
    </w:p>
    <w:p>
      <w:pPr>
        <w:spacing w:line="3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 投标文件递交起止时间：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20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22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  <w:highlight w:val="none"/>
        </w:rPr>
        <w:t>时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/>
          <w:color w:val="auto"/>
          <w:szCs w:val="21"/>
          <w:highlight w:val="none"/>
        </w:rPr>
        <w:t>分00秒至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  <w:highlight w:val="none"/>
        </w:rPr>
        <w:t>时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/>
          <w:color w:val="auto"/>
          <w:szCs w:val="21"/>
          <w:highlight w:val="none"/>
        </w:rPr>
        <w:t>分00秒。</w:t>
      </w:r>
    </w:p>
    <w:p>
      <w:pPr>
        <w:spacing w:line="3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3.</w:t>
      </w:r>
      <w:r>
        <w:rPr>
          <w:rFonts w:ascii="宋体" w:hAnsi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</w:rPr>
        <w:t>地点：云之龙咨询集团有限公司（广西柳州市滨江东路16号三区211-218室）。</w:t>
      </w:r>
    </w:p>
    <w:p>
      <w:pPr>
        <w:spacing w:line="38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4.</w:t>
      </w:r>
      <w:r>
        <w:rPr>
          <w:rFonts w:ascii="宋体" w:hAnsi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</w:rPr>
        <w:t>投标人应在投标文件递交截止时间前，将投标文件密封送达投标地点，未在规定时间内送达或未按照招标文件要求密封的投标文件，将予以拒收。</w:t>
      </w:r>
    </w:p>
    <w:p>
      <w:pPr>
        <w:keepNext/>
        <w:keepLines/>
        <w:spacing w:line="380" w:lineRule="exact"/>
        <w:outlineLvl w:val="1"/>
        <w:rPr>
          <w:rFonts w:hint="eastAsia" w:ascii="宋体" w:hAnsi="宋体" w:cs="宋体"/>
          <w:b/>
          <w:color w:val="auto"/>
          <w:szCs w:val="21"/>
          <w:highlight w:val="none"/>
        </w:rPr>
      </w:pPr>
      <w:bookmarkStart w:id="26" w:name="_Toc16933"/>
      <w:r>
        <w:rPr>
          <w:rFonts w:hint="eastAsia" w:ascii="宋体" w:hAnsi="宋体" w:cs="宋体"/>
          <w:b/>
          <w:color w:val="auto"/>
          <w:szCs w:val="21"/>
          <w:highlight w:val="none"/>
        </w:rPr>
        <w:t>五、开标时间和地点：</w:t>
      </w:r>
      <w:bookmarkEnd w:id="26"/>
    </w:p>
    <w:p>
      <w:pPr>
        <w:keepNext/>
        <w:keepLines/>
        <w:spacing w:line="380" w:lineRule="exact"/>
        <w:ind w:firstLine="420" w:firstLineChars="200"/>
        <w:outlineLvl w:val="1"/>
        <w:rPr>
          <w:rFonts w:hint="eastAsia" w:ascii="宋体" w:hAnsi="宋体" w:cs="宋体"/>
          <w:bCs/>
          <w:color w:val="auto"/>
          <w:szCs w:val="21"/>
          <w:highlight w:val="none"/>
        </w:rPr>
      </w:pPr>
      <w:bookmarkStart w:id="27" w:name="_Toc18813"/>
      <w:r>
        <w:rPr>
          <w:rFonts w:hint="eastAsia" w:ascii="宋体" w:hAnsi="宋体" w:cs="宋体"/>
          <w:bCs/>
          <w:color w:val="auto"/>
          <w:szCs w:val="21"/>
          <w:highlight w:val="none"/>
        </w:rPr>
        <w:t>本次招标将于20</w:t>
      </w:r>
      <w:r>
        <w:rPr>
          <w:rFonts w:hint="eastAsia" w:ascii="宋体" w:hAnsi="宋体" w:cs="宋体"/>
          <w:bCs/>
          <w:color w:val="auto"/>
          <w:szCs w:val="21"/>
          <w:highlight w:val="none"/>
          <w:u w:val="single"/>
        </w:rPr>
        <w:t>22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bCs/>
          <w:color w:val="auto"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bCs/>
          <w:color w:val="auto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日</w:t>
      </w:r>
      <w:r>
        <w:rPr>
          <w:rFonts w:hint="eastAsia" w:ascii="宋体" w:hAnsi="宋体" w:cs="宋体"/>
          <w:bCs/>
          <w:color w:val="auto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时</w:t>
      </w:r>
      <w:r>
        <w:rPr>
          <w:rFonts w:hint="eastAsia" w:ascii="宋体" w:hAnsi="宋体" w:cs="宋体"/>
          <w:bCs/>
          <w:color w:val="auto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分00秒在</w:t>
      </w:r>
      <w:r>
        <w:rPr>
          <w:rFonts w:hint="eastAsia" w:ascii="宋体" w:hAnsi="宋体"/>
          <w:color w:val="auto"/>
          <w:szCs w:val="21"/>
          <w:highlight w:val="none"/>
        </w:rPr>
        <w:t>云之龙咨询集团有限公司（广西柳州市滨江东路16号三区211-218室）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开标厅开标。投标人不参加现场开标活动的视同认可开标结果。</w:t>
      </w:r>
      <w:bookmarkEnd w:id="27"/>
    </w:p>
    <w:bookmarkEnd w:id="22"/>
    <w:bookmarkEnd w:id="23"/>
    <w:bookmarkEnd w:id="24"/>
    <w:bookmarkEnd w:id="25"/>
    <w:p>
      <w:pPr>
        <w:keepNext/>
        <w:keepLines/>
        <w:spacing w:line="380" w:lineRule="exact"/>
        <w:outlineLvl w:val="1"/>
        <w:rPr>
          <w:rFonts w:ascii="宋体" w:hAnsi="宋体" w:cs="宋体"/>
          <w:b/>
          <w:color w:val="auto"/>
          <w:szCs w:val="21"/>
          <w:highlight w:val="none"/>
        </w:rPr>
      </w:pPr>
      <w:bookmarkStart w:id="28" w:name="_Toc8986"/>
      <w:bookmarkStart w:id="29" w:name="_Toc35393626"/>
      <w:bookmarkStart w:id="30" w:name="_Toc35393795"/>
      <w:r>
        <w:rPr>
          <w:rFonts w:hint="eastAsia" w:ascii="宋体" w:hAnsi="宋体" w:cs="宋体"/>
          <w:b/>
          <w:color w:val="auto"/>
          <w:szCs w:val="21"/>
          <w:highlight w:val="none"/>
        </w:rPr>
        <w:t>六、其他补充事宜</w:t>
      </w:r>
      <w:bookmarkEnd w:id="28"/>
      <w:bookmarkEnd w:id="29"/>
      <w:bookmarkEnd w:id="30"/>
    </w:p>
    <w:p>
      <w:pPr>
        <w:snapToGrid w:val="0"/>
        <w:spacing w:line="380" w:lineRule="exact"/>
        <w:ind w:firstLine="472" w:firstLineChars="225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1.投标保证金：投标</w:t>
      </w:r>
      <w:r>
        <w:rPr>
          <w:rFonts w:hint="eastAsia" w:ascii="宋体" w:hAnsi="宋体" w:cs="Arial"/>
          <w:color w:val="auto"/>
          <w:szCs w:val="21"/>
          <w:highlight w:val="none"/>
        </w:rPr>
        <w:t>保证金人民币壹拾万元整（￥100000.00）。</w:t>
      </w:r>
    </w:p>
    <w:p>
      <w:pPr>
        <w:snapToGrid w:val="0"/>
        <w:spacing w:line="380" w:lineRule="exact"/>
        <w:ind w:firstLine="472" w:firstLineChars="225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投标保证金的交纳方式：</w:t>
      </w:r>
      <w:r>
        <w:rPr>
          <w:rFonts w:hint="eastAsia"/>
          <w:color w:val="auto"/>
          <w:highlight w:val="none"/>
        </w:rPr>
        <w:t>以现金或者银行转账的形式，</w:t>
      </w:r>
      <w:r>
        <w:rPr>
          <w:rFonts w:hint="eastAsia" w:ascii="宋体" w:hAnsi="宋体" w:cs="宋体"/>
          <w:color w:val="auto"/>
          <w:szCs w:val="21"/>
          <w:highlight w:val="none"/>
        </w:rPr>
        <w:t>在投标截止时间前</w:t>
      </w:r>
      <w:r>
        <w:rPr>
          <w:rFonts w:hint="eastAsia" w:ascii="宋体" w:hAnsi="宋体" w:cs="Arial"/>
          <w:color w:val="auto"/>
          <w:szCs w:val="21"/>
          <w:highlight w:val="none"/>
        </w:rPr>
        <w:t>交至</w:t>
      </w:r>
      <w:r>
        <w:rPr>
          <w:rFonts w:hint="eastAsia" w:ascii="宋体" w:hAnsi="宋体"/>
          <w:color w:val="auto"/>
          <w:szCs w:val="21"/>
          <w:highlight w:val="none"/>
        </w:rPr>
        <w:t>招标代理机构指定账户</w:t>
      </w:r>
      <w:r>
        <w:rPr>
          <w:rFonts w:hint="eastAsia" w:ascii="宋体" w:hAnsi="宋体" w:cs="Arial"/>
          <w:color w:val="auto"/>
          <w:szCs w:val="21"/>
          <w:highlight w:val="none"/>
        </w:rPr>
        <w:t>并且到账</w:t>
      </w:r>
      <w:r>
        <w:rPr>
          <w:rFonts w:hint="eastAsia" w:hAnsi="宋体" w:cs="Arial"/>
          <w:color w:val="auto"/>
          <w:szCs w:val="21"/>
          <w:highlight w:val="none"/>
        </w:rPr>
        <w:t>【</w:t>
      </w:r>
      <w:r>
        <w:rPr>
          <w:rFonts w:hint="eastAsia" w:hAnsi="宋体" w:cs="Arial"/>
          <w:b/>
          <w:color w:val="auto"/>
          <w:szCs w:val="21"/>
          <w:highlight w:val="none"/>
        </w:rPr>
        <w:t>开户名称：云之龙招标集团有限公司柳州分公司，开户银行：中信银行南宁东葛支行，银行账号：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8113 0010 1450 0074 537</w:t>
      </w:r>
      <w:r>
        <w:rPr>
          <w:rFonts w:hint="eastAsia" w:hAnsi="宋体"/>
          <w:color w:val="auto"/>
          <w:szCs w:val="21"/>
          <w:highlight w:val="none"/>
        </w:rPr>
        <w:t>】</w:t>
      </w:r>
      <w:r>
        <w:rPr>
          <w:rFonts w:hint="eastAsia" w:ascii="宋体" w:hAnsi="宋体" w:cs="Arial"/>
          <w:color w:val="auto"/>
          <w:szCs w:val="21"/>
          <w:highlight w:val="none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否则视为无效投标保证金。</w:t>
      </w:r>
    </w:p>
    <w:p>
      <w:pPr>
        <w:snapToGrid w:val="0"/>
        <w:spacing w:line="380" w:lineRule="exact"/>
        <w:ind w:firstLine="472" w:firstLineChars="225"/>
        <w:rPr>
          <w:rFonts w:hint="eastAsia"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</w:t>
      </w:r>
      <w:r>
        <w:rPr>
          <w:rFonts w:hint="eastAsia" w:ascii="宋体" w:hAnsi="宋体" w:cs="Arial"/>
          <w:color w:val="auto"/>
          <w:szCs w:val="21"/>
          <w:highlight w:val="none"/>
        </w:rPr>
        <w:t xml:space="preserve"> 网上查询地址：中国采购与招标网(www.chinabidding.com.cn)、中国招标投标公共服务平台（www.cebpubservice.com）、云之龙咨询集团有限公司网(www.yzljt.cn) </w:t>
      </w:r>
    </w:p>
    <w:p>
      <w:pPr>
        <w:keepNext/>
        <w:keepLines/>
        <w:spacing w:line="380" w:lineRule="exact"/>
        <w:outlineLvl w:val="1"/>
        <w:rPr>
          <w:rFonts w:ascii="宋体" w:hAnsi="宋体" w:cs="宋体"/>
          <w:b/>
          <w:color w:val="auto"/>
          <w:szCs w:val="21"/>
          <w:highlight w:val="none"/>
        </w:rPr>
      </w:pPr>
      <w:bookmarkStart w:id="31" w:name="_Toc12356"/>
      <w:bookmarkStart w:id="32" w:name="_Toc28359085"/>
      <w:bookmarkStart w:id="33" w:name="_Toc28359008"/>
      <w:bookmarkStart w:id="34" w:name="_Toc35393627"/>
      <w:bookmarkStart w:id="35" w:name="_Toc35393796"/>
      <w:r>
        <w:rPr>
          <w:rFonts w:hint="eastAsia" w:ascii="宋体" w:hAnsi="宋体" w:cs="宋体"/>
          <w:b/>
          <w:color w:val="auto"/>
          <w:szCs w:val="21"/>
          <w:highlight w:val="none"/>
        </w:rPr>
        <w:t>七、对本次招标提出询问，请按</w:t>
      </w:r>
      <w:r>
        <w:rPr>
          <w:rFonts w:ascii="宋体" w:hAnsi="宋体" w:cs="宋体"/>
          <w:b/>
          <w:color w:val="auto"/>
          <w:szCs w:val="21"/>
          <w:highlight w:val="none"/>
        </w:rPr>
        <w:t>以下方式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联系。</w:t>
      </w:r>
      <w:bookmarkEnd w:id="31"/>
      <w:bookmarkEnd w:id="32"/>
      <w:bookmarkEnd w:id="33"/>
      <w:bookmarkEnd w:id="34"/>
      <w:bookmarkEnd w:id="35"/>
    </w:p>
    <w:p>
      <w:pPr>
        <w:widowControl/>
        <w:tabs>
          <w:tab w:val="left" w:pos="142"/>
          <w:tab w:val="left" w:pos="284"/>
        </w:tabs>
        <w:spacing w:line="380" w:lineRule="exact"/>
        <w:ind w:left="424" w:hanging="424" w:hangingChars="202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　　1.招标人信息</w:t>
      </w:r>
    </w:p>
    <w:p>
      <w:pPr>
        <w:widowControl/>
        <w:tabs>
          <w:tab w:val="left" w:pos="142"/>
          <w:tab w:val="left" w:pos="284"/>
        </w:tabs>
        <w:spacing w:line="380" w:lineRule="exact"/>
        <w:ind w:left="424" w:hanging="424" w:hangingChars="202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</w:t>
      </w:r>
      <w:r>
        <w:rPr>
          <w:rFonts w:ascii="宋体" w:hAnsi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</w:rPr>
        <w:t xml:space="preserve"> </w:t>
      </w:r>
      <w:bookmarkStart w:id="36" w:name="_Toc28359086"/>
      <w:bookmarkStart w:id="37" w:name="_Toc28359009"/>
      <w:r>
        <w:rPr>
          <w:rFonts w:hint="eastAsia" w:ascii="宋体" w:hAnsi="宋体"/>
          <w:color w:val="auto"/>
          <w:szCs w:val="21"/>
          <w:highlight w:val="none"/>
        </w:rPr>
        <w:t xml:space="preserve">名  称：柳州市中医医院（柳州市壮医医院） </w:t>
      </w:r>
    </w:p>
    <w:p>
      <w:pPr>
        <w:widowControl/>
        <w:tabs>
          <w:tab w:val="left" w:pos="142"/>
          <w:tab w:val="left" w:pos="284"/>
        </w:tabs>
        <w:spacing w:line="380" w:lineRule="exact"/>
        <w:ind w:left="424" w:hanging="424" w:hangingChars="202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地  址：柳州市东环大道延长线东侧红葫路6号 </w:t>
      </w:r>
    </w:p>
    <w:p>
      <w:pPr>
        <w:widowControl/>
        <w:tabs>
          <w:tab w:val="left" w:pos="142"/>
          <w:tab w:val="left" w:pos="284"/>
        </w:tabs>
        <w:spacing w:line="380" w:lineRule="exact"/>
        <w:ind w:firstLine="630" w:firstLineChars="300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联系人：陆瑜萍 </w:t>
      </w:r>
    </w:p>
    <w:p>
      <w:pPr>
        <w:widowControl/>
        <w:tabs>
          <w:tab w:val="left" w:pos="142"/>
          <w:tab w:val="left" w:pos="284"/>
        </w:tabs>
        <w:spacing w:line="380" w:lineRule="exact"/>
        <w:ind w:left="424" w:hanging="424" w:hangingChars="202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电  话</w:t>
      </w:r>
      <w:r>
        <w:rPr>
          <w:rFonts w:ascii="宋体" w:hAnsi="宋体"/>
          <w:color w:val="auto"/>
          <w:szCs w:val="21"/>
          <w:highlight w:val="none"/>
        </w:rPr>
        <w:t>：</w:t>
      </w:r>
      <w:r>
        <w:rPr>
          <w:rFonts w:hint="eastAsia" w:ascii="宋体" w:hAnsi="宋体"/>
          <w:color w:val="auto"/>
          <w:szCs w:val="21"/>
          <w:highlight w:val="none"/>
        </w:rPr>
        <w:t xml:space="preserve">0772-3357423 </w:t>
      </w:r>
    </w:p>
    <w:p>
      <w:pPr>
        <w:widowControl/>
        <w:tabs>
          <w:tab w:val="left" w:pos="142"/>
          <w:tab w:val="left" w:pos="284"/>
        </w:tabs>
        <w:spacing w:line="380" w:lineRule="exact"/>
        <w:ind w:left="424" w:hanging="424" w:hangingChars="202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</w:t>
      </w:r>
      <w:r>
        <w:rPr>
          <w:rFonts w:hint="eastAsia" w:ascii="宋体" w:hAnsi="宋体" w:cs="宋体"/>
          <w:color w:val="auto"/>
          <w:szCs w:val="21"/>
          <w:highlight w:val="none"/>
        </w:rPr>
        <w:t>2.招标代理机构信息</w:t>
      </w:r>
      <w:bookmarkEnd w:id="36"/>
      <w:bookmarkEnd w:id="37"/>
    </w:p>
    <w:p>
      <w:pPr>
        <w:tabs>
          <w:tab w:val="left" w:pos="142"/>
          <w:tab w:val="left" w:pos="284"/>
        </w:tabs>
        <w:spacing w:line="380" w:lineRule="exact"/>
        <w:ind w:left="424" w:hanging="424" w:hangingChars="202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名 称：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云之龙咨询集团有限公司</w:t>
      </w:r>
    </w:p>
    <w:p>
      <w:pPr>
        <w:tabs>
          <w:tab w:val="left" w:pos="142"/>
          <w:tab w:val="left" w:pos="284"/>
        </w:tabs>
        <w:spacing w:line="380" w:lineRule="exact"/>
        <w:ind w:left="424" w:hanging="424" w:hangingChars="202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地 址：广西柳州市滨江东路16号三区211-218室</w:t>
      </w:r>
      <w:r>
        <w:rPr>
          <w:rFonts w:ascii="宋体" w:hAnsi="宋体"/>
          <w:color w:val="auto"/>
          <w:szCs w:val="21"/>
          <w:highlight w:val="none"/>
        </w:rPr>
        <w:t xml:space="preserve"> </w:t>
      </w:r>
      <w:bookmarkStart w:id="38" w:name="_Toc28359087"/>
      <w:bookmarkStart w:id="39" w:name="_Toc28359010"/>
    </w:p>
    <w:bookmarkEnd w:id="38"/>
    <w:bookmarkEnd w:id="39"/>
    <w:p>
      <w:pPr>
        <w:tabs>
          <w:tab w:val="left" w:pos="142"/>
          <w:tab w:val="left" w:pos="284"/>
        </w:tabs>
        <w:spacing w:line="380" w:lineRule="exact"/>
        <w:ind w:left="424" w:hanging="424" w:hangingChars="202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联系人：</w:t>
      </w:r>
      <w:r>
        <w:rPr>
          <w:rFonts w:hint="eastAsia"/>
          <w:color w:val="auto"/>
          <w:szCs w:val="21"/>
          <w:highlight w:val="none"/>
        </w:rPr>
        <w:t>阮欣竹</w:t>
      </w:r>
      <w:r>
        <w:rPr>
          <w:rFonts w:hint="eastAsia"/>
          <w:color w:val="auto"/>
          <w:szCs w:val="21"/>
          <w:highlight w:val="none"/>
          <w:lang w:eastAsia="zh-CN"/>
        </w:rPr>
        <w:t>、韦蕗芃</w:t>
      </w:r>
      <w:r>
        <w:rPr>
          <w:rFonts w:hint="eastAsia" w:ascii="宋体" w:hAnsi="宋体"/>
          <w:color w:val="auto"/>
          <w:szCs w:val="21"/>
          <w:highlight w:val="none"/>
        </w:rPr>
        <w:t xml:space="preserve"> </w:t>
      </w:r>
    </w:p>
    <w:p>
      <w:pPr>
        <w:tabs>
          <w:tab w:val="left" w:pos="142"/>
          <w:tab w:val="left" w:pos="284"/>
        </w:tabs>
        <w:spacing w:line="380" w:lineRule="exact"/>
        <w:ind w:left="424" w:hanging="424" w:hangingChars="202"/>
        <w:rPr>
          <w:rFonts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电　话：0772-3310669、3310109 </w:t>
      </w:r>
    </w:p>
    <w:p>
      <w:pPr>
        <w:widowControl/>
        <w:spacing w:line="380" w:lineRule="exact"/>
        <w:jc w:val="left"/>
        <w:rPr>
          <w:rFonts w:hint="eastAsia" w:ascii="宋体" w:hAnsi="宋体"/>
          <w:color w:val="auto"/>
          <w:szCs w:val="21"/>
          <w:highlight w:val="none"/>
        </w:rPr>
      </w:pPr>
    </w:p>
    <w:p>
      <w:pPr>
        <w:widowControl/>
        <w:spacing w:line="380" w:lineRule="exact"/>
        <w:jc w:val="left"/>
        <w:rPr>
          <w:rFonts w:ascii="宋体" w:hAnsi="宋体"/>
          <w:color w:val="auto"/>
          <w:szCs w:val="21"/>
          <w:highlight w:val="none"/>
        </w:rPr>
      </w:pPr>
    </w:p>
    <w:p>
      <w:pPr>
        <w:widowControl/>
        <w:spacing w:line="380" w:lineRule="exact"/>
        <w:jc w:val="righ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云之龙咨询集团有限公司</w:t>
      </w:r>
    </w:p>
    <w:p>
      <w:pPr>
        <w:pStyle w:val="15"/>
        <w:spacing w:line="360" w:lineRule="auto"/>
        <w:ind w:left="548"/>
        <w:jc w:val="right"/>
        <w:rPr>
          <w:rFonts w:hAnsi="宋体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 xml:space="preserve">                                                                      </w:t>
      </w:r>
      <w:r>
        <w:rPr>
          <w:rFonts w:hint="eastAsia" w:ascii="宋体" w:hAnsi="宋体" w:cs="Arial"/>
          <w:color w:val="auto"/>
          <w:szCs w:val="21"/>
          <w:highlight w:val="none"/>
        </w:rPr>
        <w:t>2022年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cs="Arial"/>
          <w:color w:val="auto"/>
          <w:szCs w:val="21"/>
          <w:highlight w:val="none"/>
        </w:rPr>
        <w:t>月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Arial"/>
          <w:color w:val="auto"/>
          <w:szCs w:val="21"/>
          <w:highlight w:val="none"/>
        </w:rPr>
        <w:t>日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 xml:space="preserve">  </w:t>
      </w:r>
      <w:bookmarkStart w:id="40" w:name="_GoBack"/>
      <w:bookmarkEnd w:id="40"/>
      <w:r>
        <w:rPr>
          <w:rFonts w:ascii="宋体" w:hAnsi="宋体"/>
          <w:color w:val="auto"/>
          <w:sz w:val="24"/>
          <w:szCs w:val="20"/>
          <w:highlight w:val="none"/>
        </w:rPr>
        <w:br w:type="page"/>
      </w:r>
    </w:p>
    <w:p>
      <w:pPr>
        <w:snapToGrid w:val="0"/>
        <w:spacing w:line="0" w:lineRule="atLeast"/>
        <w:ind w:left="238"/>
        <w:jc w:val="right"/>
        <w:rPr>
          <w:rFonts w:ascii="宋体" w:hAnsi="宋体"/>
          <w:color w:val="auto"/>
          <w:szCs w:val="21"/>
          <w:highlight w:val="none"/>
        </w:rPr>
      </w:pPr>
    </w:p>
    <w:p>
      <w:pPr>
        <w:spacing w:line="0" w:lineRule="atLeast"/>
        <w:ind w:firstLine="495"/>
        <w:rPr>
          <w:rFonts w:ascii="宋体" w:hAnsi="宋体"/>
          <w:color w:val="auto"/>
          <w:highlight w:val="none"/>
        </w:rPr>
      </w:pPr>
    </w:p>
    <w:p>
      <w:pPr>
        <w:spacing w:line="276" w:lineRule="auto"/>
        <w:ind w:firstLine="420" w:firstLineChars="200"/>
        <w:rPr>
          <w:color w:val="auto"/>
          <w:highlight w:val="none"/>
        </w:rPr>
      </w:pPr>
    </w:p>
    <w:sectPr>
      <w:pgSz w:w="11906" w:h="16838"/>
      <w:pgMar w:top="1440" w:right="127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hiMjg0MTY2YTFkNTExOWYxMjdjMTM1YzNmMjJlOTgifQ=="/>
  </w:docVars>
  <w:rsids>
    <w:rsidRoot w:val="00537DBB"/>
    <w:rsid w:val="0007672E"/>
    <w:rsid w:val="0008308E"/>
    <w:rsid w:val="000B54C8"/>
    <w:rsid w:val="001C2397"/>
    <w:rsid w:val="001D757A"/>
    <w:rsid w:val="002228A8"/>
    <w:rsid w:val="00241DBB"/>
    <w:rsid w:val="0028142C"/>
    <w:rsid w:val="002A363A"/>
    <w:rsid w:val="002A617D"/>
    <w:rsid w:val="002B3A37"/>
    <w:rsid w:val="003359A6"/>
    <w:rsid w:val="00337493"/>
    <w:rsid w:val="0035707E"/>
    <w:rsid w:val="003828EB"/>
    <w:rsid w:val="003A3F86"/>
    <w:rsid w:val="003B4356"/>
    <w:rsid w:val="003D4F5D"/>
    <w:rsid w:val="003E0014"/>
    <w:rsid w:val="003F1436"/>
    <w:rsid w:val="0046126D"/>
    <w:rsid w:val="00467001"/>
    <w:rsid w:val="004A5452"/>
    <w:rsid w:val="004E50E3"/>
    <w:rsid w:val="00501966"/>
    <w:rsid w:val="00537DBB"/>
    <w:rsid w:val="005B28B9"/>
    <w:rsid w:val="005D37D5"/>
    <w:rsid w:val="00644E12"/>
    <w:rsid w:val="006B1BD1"/>
    <w:rsid w:val="006B5054"/>
    <w:rsid w:val="006B60B3"/>
    <w:rsid w:val="006E3922"/>
    <w:rsid w:val="00780348"/>
    <w:rsid w:val="00791700"/>
    <w:rsid w:val="007C2495"/>
    <w:rsid w:val="007E34FF"/>
    <w:rsid w:val="007F58AA"/>
    <w:rsid w:val="00802A76"/>
    <w:rsid w:val="008E055F"/>
    <w:rsid w:val="008F0D08"/>
    <w:rsid w:val="00A1488A"/>
    <w:rsid w:val="00A65A9C"/>
    <w:rsid w:val="00AC03FD"/>
    <w:rsid w:val="00C11C8E"/>
    <w:rsid w:val="00C14A5A"/>
    <w:rsid w:val="00C1548D"/>
    <w:rsid w:val="00C15F6A"/>
    <w:rsid w:val="00C17DAB"/>
    <w:rsid w:val="00C8655B"/>
    <w:rsid w:val="00C969CF"/>
    <w:rsid w:val="00D84BAD"/>
    <w:rsid w:val="00DB0F3E"/>
    <w:rsid w:val="00E22BC2"/>
    <w:rsid w:val="00E93AD4"/>
    <w:rsid w:val="00F54FB0"/>
    <w:rsid w:val="055A5956"/>
    <w:rsid w:val="05B813B2"/>
    <w:rsid w:val="24FF65B4"/>
    <w:rsid w:val="4CAD4014"/>
    <w:rsid w:val="5A84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华文新魏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9"/>
    <w:qFormat/>
    <w:uiPriority w:val="0"/>
    <w:pPr>
      <w:keepNext/>
      <w:keepLines/>
      <w:spacing w:beforeLines="30" w:afterLines="30" w:line="300" w:lineRule="exact"/>
      <w:outlineLvl w:val="3"/>
    </w:pPr>
    <w:rPr>
      <w:rFonts w:hAnsi="宋体"/>
      <w:b/>
      <w:bCs/>
      <w:szCs w:val="28"/>
    </w:rPr>
  </w:style>
  <w:style w:type="paragraph" w:styleId="7">
    <w:name w:val="heading 5"/>
    <w:basedOn w:val="1"/>
    <w:next w:val="8"/>
    <w:link w:val="30"/>
    <w:qFormat/>
    <w:uiPriority w:val="0"/>
    <w:pPr>
      <w:keepNext/>
      <w:keepLines/>
      <w:tabs>
        <w:tab w:val="left" w:pos="1008"/>
      </w:tabs>
      <w:adjustRightInd w:val="0"/>
      <w:spacing w:before="280" w:after="290" w:line="376" w:lineRule="atLeast"/>
      <w:ind w:left="1008" w:hanging="1008"/>
      <w:textAlignment w:val="baseline"/>
      <w:outlineLvl w:val="4"/>
    </w:pPr>
    <w:rPr>
      <w:b/>
      <w:kern w:val="0"/>
      <w:sz w:val="28"/>
    </w:rPr>
  </w:style>
  <w:style w:type="paragraph" w:styleId="9">
    <w:name w:val="heading 6"/>
    <w:basedOn w:val="1"/>
    <w:next w:val="8"/>
    <w:link w:val="31"/>
    <w:qFormat/>
    <w:uiPriority w:val="0"/>
    <w:pPr>
      <w:keepNext/>
      <w:keepLines/>
      <w:tabs>
        <w:tab w:val="left" w:pos="1152"/>
      </w:tabs>
      <w:adjustRightInd w:val="0"/>
      <w:spacing w:before="240" w:after="64" w:line="320" w:lineRule="atLeast"/>
      <w:ind w:left="1152" w:hanging="1152"/>
      <w:textAlignment w:val="baseline"/>
      <w:outlineLvl w:val="5"/>
    </w:pPr>
    <w:rPr>
      <w:rFonts w:ascii="Arial" w:hAnsi="Arial" w:eastAsia="黑体"/>
      <w:b/>
      <w:kern w:val="0"/>
      <w:sz w:val="24"/>
    </w:rPr>
  </w:style>
  <w:style w:type="paragraph" w:styleId="10">
    <w:name w:val="heading 7"/>
    <w:basedOn w:val="1"/>
    <w:next w:val="8"/>
    <w:link w:val="32"/>
    <w:qFormat/>
    <w:uiPriority w:val="0"/>
    <w:pPr>
      <w:keepNext/>
      <w:keepLines/>
      <w:tabs>
        <w:tab w:val="left" w:pos="1296"/>
      </w:tabs>
      <w:adjustRightInd w:val="0"/>
      <w:spacing w:before="240" w:after="64" w:line="320" w:lineRule="atLeast"/>
      <w:ind w:left="1296" w:hanging="1296"/>
      <w:textAlignment w:val="baseline"/>
      <w:outlineLvl w:val="6"/>
    </w:pPr>
    <w:rPr>
      <w:b/>
      <w:kern w:val="0"/>
      <w:sz w:val="24"/>
    </w:rPr>
  </w:style>
  <w:style w:type="paragraph" w:styleId="11">
    <w:name w:val="heading 8"/>
    <w:basedOn w:val="1"/>
    <w:next w:val="8"/>
    <w:link w:val="33"/>
    <w:qFormat/>
    <w:uiPriority w:val="0"/>
    <w:pPr>
      <w:keepNext/>
      <w:keepLines/>
      <w:tabs>
        <w:tab w:val="left" w:pos="1440"/>
      </w:tabs>
      <w:adjustRightInd w:val="0"/>
      <w:spacing w:before="240" w:after="64" w:line="320" w:lineRule="atLeast"/>
      <w:ind w:left="1440" w:hanging="1440"/>
      <w:textAlignment w:val="baseline"/>
      <w:outlineLvl w:val="7"/>
    </w:pPr>
    <w:rPr>
      <w:rFonts w:ascii="Arial" w:hAnsi="Arial" w:eastAsia="黑体"/>
      <w:kern w:val="0"/>
      <w:sz w:val="24"/>
    </w:rPr>
  </w:style>
  <w:style w:type="paragraph" w:styleId="12">
    <w:name w:val="heading 9"/>
    <w:basedOn w:val="1"/>
    <w:next w:val="8"/>
    <w:link w:val="34"/>
    <w:qFormat/>
    <w:uiPriority w:val="0"/>
    <w:pPr>
      <w:keepNext/>
      <w:keepLines/>
      <w:tabs>
        <w:tab w:val="left" w:pos="1584"/>
      </w:tabs>
      <w:adjustRightInd w:val="0"/>
      <w:spacing w:before="240" w:after="64" w:line="320" w:lineRule="atLeast"/>
      <w:ind w:left="1584" w:hanging="1584"/>
      <w:textAlignment w:val="baseline"/>
      <w:outlineLvl w:val="8"/>
    </w:pPr>
    <w:rPr>
      <w:rFonts w:ascii="Arial" w:hAnsi="Arial" w:eastAsia="黑体"/>
      <w:kern w:val="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8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13">
    <w:name w:val="caption"/>
    <w:basedOn w:val="1"/>
    <w:next w:val="1"/>
    <w:qFormat/>
    <w:uiPriority w:val="0"/>
    <w:pPr>
      <w:spacing w:beforeLines="50" w:afterLines="50"/>
      <w:ind w:left="422" w:hanging="422" w:hangingChars="200"/>
      <w:jc w:val="left"/>
    </w:pPr>
    <w:rPr>
      <w:rFonts w:hAnsi="宋体"/>
      <w:b/>
      <w:bCs/>
    </w:rPr>
  </w:style>
  <w:style w:type="paragraph" w:styleId="14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15">
    <w:name w:val="Plain Text"/>
    <w:basedOn w:val="1"/>
    <w:link w:val="37"/>
    <w:qFormat/>
    <w:uiPriority w:val="0"/>
  </w:style>
  <w:style w:type="paragraph" w:styleId="16">
    <w:name w:val="footer"/>
    <w:basedOn w:val="1"/>
    <w:link w:val="5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5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Subtitle"/>
    <w:basedOn w:val="1"/>
    <w:link w:val="36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19">
    <w:name w:val="Title"/>
    <w:basedOn w:val="1"/>
    <w:link w:val="35"/>
    <w:qFormat/>
    <w:uiPriority w:val="0"/>
    <w:pPr>
      <w:spacing w:beforeLines="30" w:afterLines="30" w:line="360" w:lineRule="auto"/>
      <w:jc w:val="center"/>
      <w:outlineLvl w:val="0"/>
    </w:pPr>
    <w:rPr>
      <w:rFonts w:ascii="Arial" w:hAnsi="Arial"/>
      <w:b/>
      <w:bCs/>
      <w:sz w:val="32"/>
      <w:szCs w:val="32"/>
    </w:rPr>
  </w:style>
  <w:style w:type="character" w:styleId="22">
    <w:name w:val="Strong"/>
    <w:qFormat/>
    <w:uiPriority w:val="0"/>
    <w:rPr>
      <w:b/>
      <w:bCs/>
    </w:rPr>
  </w:style>
  <w:style w:type="paragraph" w:customStyle="1" w:styleId="23">
    <w:name w:val="样式5"/>
    <w:link w:val="25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4">
    <w:name w:val="批注文字 Char"/>
    <w:basedOn w:val="21"/>
    <w:link w:val="14"/>
    <w:semiHidden/>
    <w:qFormat/>
    <w:uiPriority w:val="99"/>
  </w:style>
  <w:style w:type="character" w:customStyle="1" w:styleId="25">
    <w:name w:val="样式5 Char"/>
    <w:basedOn w:val="21"/>
    <w:link w:val="23"/>
    <w:qFormat/>
    <w:uiPriority w:val="0"/>
    <w:rPr>
      <w:rFonts w:ascii="宋体" w:hAnsi="Courier New" w:eastAsia="宋体" w:cs="Times New Roman"/>
      <w:szCs w:val="20"/>
    </w:rPr>
  </w:style>
  <w:style w:type="character" w:customStyle="1" w:styleId="26">
    <w:name w:val="标题 1 Char"/>
    <w:link w:val="3"/>
    <w:qFormat/>
    <w:uiPriority w:val="0"/>
    <w:rPr>
      <w:rFonts w:ascii="宋体" w:hAnsi="Courier New"/>
      <w:b/>
      <w:bCs/>
      <w:kern w:val="44"/>
      <w:sz w:val="44"/>
      <w:szCs w:val="44"/>
    </w:rPr>
  </w:style>
  <w:style w:type="character" w:customStyle="1" w:styleId="27">
    <w:name w:val="标题 2 Char"/>
    <w:basedOn w:val="21"/>
    <w:link w:val="4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8">
    <w:name w:val="标题 3 Char"/>
    <w:link w:val="5"/>
    <w:qFormat/>
    <w:uiPriority w:val="0"/>
    <w:rPr>
      <w:rFonts w:ascii="宋体" w:hAnsi="Courier New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9">
    <w:name w:val="标题 4 Char"/>
    <w:link w:val="6"/>
    <w:qFormat/>
    <w:uiPriority w:val="0"/>
    <w:rPr>
      <w:rFonts w:ascii="宋体" w:hAnsi="宋体"/>
      <w:b/>
      <w:bCs/>
      <w:kern w:val="2"/>
      <w:sz w:val="21"/>
      <w:szCs w:val="28"/>
    </w:rPr>
  </w:style>
  <w:style w:type="character" w:customStyle="1" w:styleId="30">
    <w:name w:val="标题 5 Char"/>
    <w:link w:val="7"/>
    <w:qFormat/>
    <w:uiPriority w:val="0"/>
    <w:rPr>
      <w:b/>
      <w:sz w:val="28"/>
    </w:rPr>
  </w:style>
  <w:style w:type="character" w:customStyle="1" w:styleId="31">
    <w:name w:val="标题 6 Char"/>
    <w:link w:val="9"/>
    <w:qFormat/>
    <w:uiPriority w:val="0"/>
    <w:rPr>
      <w:rFonts w:ascii="Arial" w:hAnsi="Arial" w:eastAsia="黑体"/>
      <w:b/>
      <w:sz w:val="24"/>
    </w:rPr>
  </w:style>
  <w:style w:type="character" w:customStyle="1" w:styleId="32">
    <w:name w:val="标题 7 Char"/>
    <w:link w:val="10"/>
    <w:qFormat/>
    <w:uiPriority w:val="0"/>
    <w:rPr>
      <w:b/>
      <w:sz w:val="24"/>
    </w:rPr>
  </w:style>
  <w:style w:type="character" w:customStyle="1" w:styleId="33">
    <w:name w:val="标题 8 Char"/>
    <w:link w:val="11"/>
    <w:qFormat/>
    <w:uiPriority w:val="0"/>
    <w:rPr>
      <w:rFonts w:ascii="Arial" w:hAnsi="Arial" w:eastAsia="黑体"/>
      <w:sz w:val="24"/>
    </w:rPr>
  </w:style>
  <w:style w:type="character" w:customStyle="1" w:styleId="34">
    <w:name w:val="标题 9 Char"/>
    <w:link w:val="12"/>
    <w:qFormat/>
    <w:uiPriority w:val="0"/>
    <w:rPr>
      <w:rFonts w:ascii="Arial" w:hAnsi="Arial" w:eastAsia="黑体"/>
      <w:sz w:val="21"/>
    </w:rPr>
  </w:style>
  <w:style w:type="character" w:customStyle="1" w:styleId="35">
    <w:name w:val="标题 Char"/>
    <w:link w:val="19"/>
    <w:qFormat/>
    <w:uiPriority w:val="0"/>
    <w:rPr>
      <w:rFonts w:ascii="Arial" w:hAnsi="Arial"/>
      <w:b/>
      <w:bCs/>
      <w:kern w:val="2"/>
      <w:sz w:val="32"/>
      <w:szCs w:val="32"/>
    </w:rPr>
  </w:style>
  <w:style w:type="character" w:customStyle="1" w:styleId="36">
    <w:name w:val="副标题 Char"/>
    <w:link w:val="18"/>
    <w:qFormat/>
    <w:uiPriority w:val="0"/>
    <w:rPr>
      <w:rFonts w:ascii="Arial" w:hAnsi="Arial" w:cs="Arial"/>
      <w:b/>
      <w:bCs/>
      <w:kern w:val="28"/>
      <w:sz w:val="32"/>
      <w:szCs w:val="32"/>
    </w:rPr>
  </w:style>
  <w:style w:type="character" w:customStyle="1" w:styleId="37">
    <w:name w:val="纯文本 Char"/>
    <w:link w:val="15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38">
    <w:name w:val="List Paragraph"/>
    <w:basedOn w:val="1"/>
    <w:link w:val="39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9">
    <w:name w:val="列出段落 Char"/>
    <w:link w:val="38"/>
    <w:qFormat/>
    <w:uiPriority w:val="34"/>
    <w:rPr>
      <w:rFonts w:ascii="Calibri" w:hAnsi="Calibri"/>
      <w:kern w:val="2"/>
      <w:sz w:val="21"/>
      <w:szCs w:val="22"/>
    </w:rPr>
  </w:style>
  <w:style w:type="character" w:customStyle="1" w:styleId="40">
    <w:name w:val="font112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41">
    <w:name w:val="font8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42">
    <w:name w:val="font10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43">
    <w:name w:val="font7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44">
    <w:name w:val="font4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45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6">
    <w:name w:val="font141"/>
    <w:qFormat/>
    <w:uiPriority w:val="0"/>
    <w:rPr>
      <w:rFonts w:hint="eastAsia" w:ascii="宋体" w:hAnsi="宋体" w:eastAsia="宋体" w:cs="宋体"/>
      <w:color w:val="008000"/>
      <w:sz w:val="22"/>
      <w:szCs w:val="22"/>
      <w:u w:val="none"/>
    </w:rPr>
  </w:style>
  <w:style w:type="character" w:customStyle="1" w:styleId="47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8">
    <w:name w:val="font12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49">
    <w:name w:val="font01"/>
    <w:qFormat/>
    <w:uiPriority w:val="0"/>
    <w:rPr>
      <w:rFonts w:ascii="仿宋" w:hAnsi="仿宋" w:eastAsia="仿宋" w:cs="仿宋"/>
      <w:color w:val="FF0000"/>
      <w:sz w:val="22"/>
      <w:szCs w:val="22"/>
      <w:u w:val="none"/>
    </w:rPr>
  </w:style>
  <w:style w:type="paragraph" w:customStyle="1" w:styleId="50">
    <w:name w:val="_Style 1"/>
    <w:basedOn w:val="1"/>
    <w:qFormat/>
    <w:uiPriority w:val="34"/>
    <w:pPr>
      <w:ind w:firstLine="420" w:firstLineChars="200"/>
    </w:pPr>
  </w:style>
  <w:style w:type="paragraph" w:customStyle="1" w:styleId="51">
    <w:name w:val="*正文"/>
    <w:basedOn w:val="1"/>
    <w:link w:val="52"/>
    <w:qFormat/>
    <w:uiPriority w:val="0"/>
    <w:pPr>
      <w:spacing w:line="300" w:lineRule="auto"/>
      <w:ind w:firstLine="480"/>
    </w:pPr>
    <w:rPr>
      <w:rFonts w:hAnsi="宋体" w:cs="仿宋_GB2312"/>
      <w:kern w:val="0"/>
      <w:sz w:val="24"/>
    </w:rPr>
  </w:style>
  <w:style w:type="character" w:customStyle="1" w:styleId="52">
    <w:name w:val="*正文 Char"/>
    <w:link w:val="51"/>
    <w:qFormat/>
    <w:locked/>
    <w:uiPriority w:val="0"/>
    <w:rPr>
      <w:rFonts w:ascii="宋体" w:hAnsi="宋体" w:cs="仿宋_GB2312"/>
      <w:sz w:val="24"/>
      <w:szCs w:val="24"/>
    </w:rPr>
  </w:style>
  <w:style w:type="paragraph" w:customStyle="1" w:styleId="5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54">
    <w:name w:val="页眉 Char"/>
    <w:basedOn w:val="21"/>
    <w:link w:val="17"/>
    <w:qFormat/>
    <w:uiPriority w:val="99"/>
    <w:rPr>
      <w:rFonts w:eastAsia="宋体"/>
      <w:kern w:val="2"/>
      <w:sz w:val="18"/>
      <w:szCs w:val="18"/>
    </w:rPr>
  </w:style>
  <w:style w:type="character" w:customStyle="1" w:styleId="55">
    <w:name w:val="页脚 Char"/>
    <w:basedOn w:val="21"/>
    <w:link w:val="16"/>
    <w:qFormat/>
    <w:uiPriority w:val="99"/>
    <w:rPr>
      <w:rFonts w:eastAsia="宋体"/>
      <w:kern w:val="2"/>
      <w:sz w:val="18"/>
      <w:szCs w:val="18"/>
    </w:rPr>
  </w:style>
  <w:style w:type="character" w:customStyle="1" w:styleId="56">
    <w:name w:val="纯文本 Char2"/>
    <w:qFormat/>
    <w:uiPriority w:val="99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7">
    <w:name w:val="纯文本 字符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1253</Words>
  <Characters>1479</Characters>
  <Lines>9</Lines>
  <Paragraphs>2</Paragraphs>
  <TotalTime>5</TotalTime>
  <ScaleCrop>false</ScaleCrop>
  <LinksUpToDate>false</LinksUpToDate>
  <CharactersWithSpaces>1628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2019-11-15T07:11:00Z</dcterms:created>
  <dc:creator>云之龙招标集团有限公司柳州分公司</dc:creator>
  <cp:lastModifiedBy>路凡</cp:lastModifiedBy>
  <cp:lastPrinted>2021-07-22T09:04:00Z</cp:lastPrinted>
  <dcterms:modified xsi:type="dcterms:W3CDTF">2022-12-09T09:57:54Z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2C665459B2794288904758329C1B4098</vt:lpwstr>
  </property>
</Properties>
</file>