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迈瑞V350呼吸机可充电锂离子电池采购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2.项目编号：20231220-1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3块</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预算：9</w:t>
      </w:r>
      <w:bookmarkStart w:id="0" w:name="_GoBack"/>
      <w:bookmarkEnd w:id="0"/>
      <w:r>
        <w:rPr>
          <w:rFonts w:hint="eastAsia" w:ascii="宋体" w:hAnsi="宋体" w:eastAsia="宋体"/>
          <w:color w:val="auto"/>
          <w:sz w:val="28"/>
          <w:szCs w:val="28"/>
          <w:lang w:val="en-US" w:eastAsia="zh-CN"/>
        </w:rPr>
        <w:t>800元。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迈瑞V350呼吸机可充电锂离子电池，电压14.8V，容量≥5700mAh  84.36Wh，质保至少半年。</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迈瑞V350呼吸机可充电锂离子电池</w:t>
      </w:r>
      <w:r>
        <w:rPr>
          <w:rFonts w:hint="eastAsia" w:hAnsi="宋体"/>
          <w:color w:val="auto"/>
          <w:sz w:val="28"/>
          <w:szCs w:val="28"/>
          <w:u w:val="single"/>
          <w:lang w:eastAsia="zh-CN"/>
        </w:rPr>
        <w:t>采购</w:t>
      </w:r>
      <w:r>
        <w:rPr>
          <w:rFonts w:hint="eastAsia" w:hAnsi="宋体"/>
          <w:color w:val="auto"/>
          <w:sz w:val="28"/>
          <w:szCs w:val="28"/>
          <w:u w:val="single"/>
          <w:lang w:val="en-US" w:eastAsia="zh-CN"/>
        </w:rPr>
        <w:t xml:space="preserve"> 20231220-1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BD51F41"/>
    <w:rsid w:val="2BF24841"/>
    <w:rsid w:val="2FC45E15"/>
    <w:rsid w:val="2FC51D9A"/>
    <w:rsid w:val="2FD559CA"/>
    <w:rsid w:val="309335A5"/>
    <w:rsid w:val="346939EC"/>
    <w:rsid w:val="35256973"/>
    <w:rsid w:val="356E0226"/>
    <w:rsid w:val="36AC7ED7"/>
    <w:rsid w:val="37EA43F2"/>
    <w:rsid w:val="393341FC"/>
    <w:rsid w:val="3B4C3D90"/>
    <w:rsid w:val="40D957D6"/>
    <w:rsid w:val="40DD1160"/>
    <w:rsid w:val="42CE66BF"/>
    <w:rsid w:val="4E00143D"/>
    <w:rsid w:val="52770B21"/>
    <w:rsid w:val="52DB37FC"/>
    <w:rsid w:val="534D3630"/>
    <w:rsid w:val="58B46018"/>
    <w:rsid w:val="598F566E"/>
    <w:rsid w:val="5BCB5F5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2EB22B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2023-12-21T00:46:50Z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50C721799ACF4545911ACBAA86145C42</vt:lpwstr>
  </property>
</Properties>
</file>