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重症UPS电池采购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2.项目编号：20240320-5</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1批（按实际采购数量结算）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重症使用</w:t>
      </w:r>
      <w:r>
        <w:rPr>
          <w:rFonts w:hint="eastAsia" w:ascii="宋体" w:hAnsi="宋体" w:eastAsia="宋体"/>
          <w:color w:val="auto"/>
          <w:sz w:val="28"/>
          <w:szCs w:val="28"/>
          <w:lang w:eastAsia="zh-CN"/>
        </w:rPr>
        <w:t>的</w:t>
      </w:r>
      <w:r>
        <w:rPr>
          <w:rFonts w:hint="eastAsia" w:ascii="宋体" w:hAnsi="宋体" w:eastAsia="宋体"/>
          <w:color w:val="auto"/>
          <w:sz w:val="28"/>
          <w:szCs w:val="28"/>
          <w:lang w:val="en-US" w:eastAsia="zh-CN"/>
        </w:rPr>
        <w:t>UPS，需要更换一批电池，电池规格是12V-24AH。要求安装到位，调试正常。</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5.建议上门勘查。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蓄电池</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重症</w:t>
      </w:r>
      <w:r>
        <w:rPr>
          <w:rFonts w:hint="eastAsia" w:hAnsi="宋体"/>
          <w:color w:val="auto"/>
          <w:sz w:val="24"/>
          <w:u w:val="single"/>
        </w:rPr>
        <w:t>UPS电池采购采购20240</w:t>
      </w:r>
      <w:r>
        <w:rPr>
          <w:rFonts w:hint="eastAsia" w:hAnsi="宋体"/>
          <w:color w:val="auto"/>
          <w:sz w:val="24"/>
          <w:u w:val="single"/>
          <w:lang w:val="en-US" w:eastAsia="zh-CN"/>
        </w:rPr>
        <w:t>320</w:t>
      </w:r>
      <w:r>
        <w:rPr>
          <w:rFonts w:hint="eastAsia" w:hAnsi="宋体"/>
          <w:color w:val="auto"/>
          <w:sz w:val="24"/>
          <w:u w:val="single"/>
        </w:rPr>
        <w:t>-</w:t>
      </w:r>
      <w:r>
        <w:rPr>
          <w:rFonts w:hint="eastAsia" w:hAnsi="宋体"/>
          <w:color w:val="auto"/>
          <w:sz w:val="24"/>
          <w:u w:val="single"/>
          <w:lang w:val="en-US" w:eastAsia="zh-CN"/>
        </w:rPr>
        <w:t>5</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8EE3317"/>
    <w:rsid w:val="69957339"/>
    <w:rsid w:val="6BAB41DF"/>
    <w:rsid w:val="6BEE5353"/>
    <w:rsid w:val="6C1C2DD0"/>
    <w:rsid w:val="6C4526AF"/>
    <w:rsid w:val="6CBE03E3"/>
    <w:rsid w:val="6CCB3DA9"/>
    <w:rsid w:val="6DF43DBC"/>
    <w:rsid w:val="715411A2"/>
    <w:rsid w:val="71A65CD9"/>
    <w:rsid w:val="71CD5C43"/>
    <w:rsid w:val="73D86942"/>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2024-03-20T08:28:51Z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8BD58A64D711442FB56F88CB86F73A88_13</vt:lpwstr>
  </property>
</Properties>
</file>